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E0181" w14:textId="77777777" w:rsidR="00113EED" w:rsidRDefault="00113EED" w:rsidP="00113EED">
      <w:pPr>
        <w:jc w:val="center"/>
        <w:rPr>
          <w:rFonts w:ascii="Arial" w:hAnsi="Arial" w:cs="Arial"/>
          <w:b/>
          <w:sz w:val="28"/>
          <w:szCs w:val="28"/>
        </w:rPr>
      </w:pPr>
      <w:r w:rsidRPr="00501121">
        <w:rPr>
          <w:rFonts w:ascii="Arial" w:hAnsi="Arial" w:cs="Arial"/>
          <w:b/>
          <w:sz w:val="28"/>
          <w:szCs w:val="28"/>
        </w:rPr>
        <w:t>Personal Data Breach Guide</w:t>
      </w:r>
    </w:p>
    <w:p w14:paraId="112C8F74" w14:textId="116120E2" w:rsidR="00113EED" w:rsidRDefault="00B70369" w:rsidP="00B70369">
      <w:pPr>
        <w:spacing w:after="0" w:line="240" w:lineRule="auto"/>
        <w:rPr>
          <w:rFonts w:ascii="Arial" w:hAnsi="Arial" w:cs="Arial"/>
          <w:b/>
        </w:rPr>
      </w:pPr>
      <w:r w:rsidRPr="00B70369">
        <w:rPr>
          <w:rFonts w:ascii="Arial" w:hAnsi="Arial" w:cs="Arial"/>
          <w:b/>
        </w:rPr>
        <w:t>Introduction</w:t>
      </w:r>
    </w:p>
    <w:p w14:paraId="3B217DB4" w14:textId="77777777" w:rsidR="00B70369" w:rsidRDefault="00B70369" w:rsidP="00B70369">
      <w:pPr>
        <w:spacing w:after="0" w:line="240" w:lineRule="auto"/>
        <w:rPr>
          <w:rFonts w:ascii="Arial" w:hAnsi="Arial" w:cs="Arial"/>
          <w:b/>
        </w:rPr>
      </w:pPr>
    </w:p>
    <w:p w14:paraId="2A811193" w14:textId="7B13A157" w:rsidR="00B70369" w:rsidRDefault="00B70369" w:rsidP="00B70369">
      <w:pPr>
        <w:spacing w:after="0" w:line="240" w:lineRule="auto"/>
        <w:rPr>
          <w:rFonts w:ascii="Arial" w:hAnsi="Arial" w:cs="Arial"/>
        </w:rPr>
      </w:pPr>
      <w:r w:rsidRPr="00B70369">
        <w:rPr>
          <w:rFonts w:ascii="Arial" w:hAnsi="Arial" w:cs="Arial"/>
        </w:rPr>
        <w:t>This guide has been produced to raise awareness of what a data breach is, and what steps staff should take if a reach is suspected.</w:t>
      </w:r>
    </w:p>
    <w:p w14:paraId="0EE044A0" w14:textId="77777777" w:rsidR="00B70369" w:rsidRDefault="00B70369" w:rsidP="00B70369">
      <w:pPr>
        <w:spacing w:after="0" w:line="240" w:lineRule="auto"/>
        <w:rPr>
          <w:rFonts w:ascii="Arial" w:hAnsi="Arial" w:cs="Arial"/>
        </w:rPr>
      </w:pPr>
    </w:p>
    <w:p w14:paraId="4CB5669F" w14:textId="662EB9F3" w:rsidR="00B70369" w:rsidRPr="00B70369" w:rsidRDefault="00B70369" w:rsidP="00B70369">
      <w:pPr>
        <w:spacing w:after="0" w:line="240" w:lineRule="auto"/>
        <w:rPr>
          <w:rFonts w:ascii="Arial" w:hAnsi="Arial" w:cs="Arial"/>
          <w:b/>
        </w:rPr>
      </w:pPr>
      <w:r w:rsidRPr="00B70369">
        <w:rPr>
          <w:rFonts w:ascii="Arial" w:hAnsi="Arial" w:cs="Arial"/>
          <w:b/>
        </w:rPr>
        <w:t>Flowchart</w:t>
      </w:r>
    </w:p>
    <w:p w14:paraId="24E8C883" w14:textId="21F983F6" w:rsidR="00B70369" w:rsidRPr="00B70369" w:rsidRDefault="00B70369" w:rsidP="00B70369">
      <w:pPr>
        <w:spacing w:after="0" w:line="240" w:lineRule="auto"/>
        <w:rPr>
          <w:rFonts w:ascii="Arial" w:hAnsi="Arial" w:cs="Arial"/>
          <w:b/>
        </w:rPr>
      </w:pPr>
    </w:p>
    <w:p w14:paraId="75880398" w14:textId="77777777" w:rsidR="00113EED" w:rsidRPr="00B70369" w:rsidRDefault="00113EED" w:rsidP="00B70369">
      <w:pPr>
        <w:spacing w:after="0" w:line="240" w:lineRule="auto"/>
        <w:rPr>
          <w:rFonts w:ascii="Arial" w:hAnsi="Arial" w:cs="Arial"/>
        </w:rPr>
      </w:pPr>
      <w:r w:rsidRPr="00B70369">
        <w:rPr>
          <w:rFonts w:ascii="Arial" w:hAnsi="Arial" w:cs="Arial"/>
          <w:noProof/>
          <w:lang w:eastAsia="en-GB"/>
        </w:rPr>
        <w:drawing>
          <wp:inline distT="0" distB="0" distL="0" distR="0" wp14:anchorId="037B887E" wp14:editId="7497B8B1">
            <wp:extent cx="5676900" cy="3705225"/>
            <wp:effectExtent l="38100" t="0" r="0"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DFECFBB" w14:textId="77777777" w:rsidR="00113EED" w:rsidRPr="00B70369" w:rsidRDefault="00113EED" w:rsidP="00B70369">
      <w:pPr>
        <w:spacing w:after="0" w:line="240" w:lineRule="auto"/>
        <w:rPr>
          <w:rFonts w:ascii="Arial" w:hAnsi="Arial" w:cs="Arial"/>
        </w:rPr>
      </w:pPr>
    </w:p>
    <w:p w14:paraId="33744055" w14:textId="15273F9C" w:rsidR="00113EED" w:rsidRDefault="00400F02" w:rsidP="00B70369">
      <w:pPr>
        <w:spacing w:after="0" w:line="240" w:lineRule="auto"/>
        <w:rPr>
          <w:rFonts w:ascii="Arial" w:hAnsi="Arial" w:cs="Arial"/>
          <w:b/>
        </w:rPr>
      </w:pPr>
      <w:r w:rsidRPr="00B70369">
        <w:rPr>
          <w:rFonts w:ascii="Arial" w:hAnsi="Arial" w:cs="Arial"/>
          <w:b/>
        </w:rPr>
        <w:t>What is a personal data b</w:t>
      </w:r>
      <w:r w:rsidR="00113EED" w:rsidRPr="00B70369">
        <w:rPr>
          <w:rFonts w:ascii="Arial" w:hAnsi="Arial" w:cs="Arial"/>
          <w:b/>
        </w:rPr>
        <w:t>reach</w:t>
      </w:r>
      <w:r w:rsidRPr="00B70369">
        <w:rPr>
          <w:rFonts w:ascii="Arial" w:hAnsi="Arial" w:cs="Arial"/>
          <w:b/>
        </w:rPr>
        <w:t>?</w:t>
      </w:r>
    </w:p>
    <w:p w14:paraId="7863EB4E" w14:textId="77777777" w:rsidR="00B70369" w:rsidRPr="00B70369" w:rsidRDefault="00B70369" w:rsidP="00B70369">
      <w:pPr>
        <w:spacing w:after="0" w:line="240" w:lineRule="auto"/>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6"/>
      </w:tblGrid>
      <w:tr w:rsidR="00113EED" w:rsidRPr="00B70369" w14:paraId="72925605" w14:textId="77777777" w:rsidTr="00280C5B">
        <w:tc>
          <w:tcPr>
            <w:tcW w:w="8996" w:type="dxa"/>
            <w:shd w:val="clear" w:color="auto" w:fill="FFFFFF" w:themeFill="background1"/>
          </w:tcPr>
          <w:p w14:paraId="0DD4B90D" w14:textId="77777777" w:rsidR="00113EED" w:rsidRPr="00B70369" w:rsidRDefault="00113EED" w:rsidP="00B70369">
            <w:pPr>
              <w:ind w:left="-108"/>
              <w:rPr>
                <w:rFonts w:ascii="Arial" w:hAnsi="Arial" w:cs="Arial"/>
              </w:rPr>
            </w:pPr>
            <w:r w:rsidRPr="00B70369">
              <w:rPr>
                <w:rFonts w:ascii="Arial" w:hAnsi="Arial" w:cs="Arial"/>
              </w:rPr>
              <w:t>A personal data breach is defined in GDPR Article 4(12) as</w:t>
            </w:r>
          </w:p>
          <w:p w14:paraId="34CBD5BB" w14:textId="77777777" w:rsidR="00113EED" w:rsidRPr="00B70369" w:rsidRDefault="00113EED" w:rsidP="00B70369">
            <w:pPr>
              <w:ind w:left="-108"/>
              <w:rPr>
                <w:rFonts w:ascii="Arial" w:hAnsi="Arial" w:cs="Arial"/>
              </w:rPr>
            </w:pPr>
          </w:p>
          <w:p w14:paraId="0AD32EA5" w14:textId="77777777" w:rsidR="00113EED" w:rsidRPr="00B70369" w:rsidRDefault="00113EED" w:rsidP="00B70369">
            <w:pPr>
              <w:ind w:left="-108"/>
              <w:rPr>
                <w:rFonts w:ascii="Arial" w:hAnsi="Arial" w:cs="Arial"/>
                <w:i/>
              </w:rPr>
            </w:pPr>
            <w:r w:rsidRPr="00B70369">
              <w:rPr>
                <w:rFonts w:ascii="Arial" w:hAnsi="Arial" w:cs="Arial"/>
                <w:i/>
              </w:rPr>
              <w:t>‘A breach of security leading to the accidental or unlawful destruction, loss, alteration, unauthorised disclosure of, or access to, personal data transmitted, stored or otherwise processed’</w:t>
            </w:r>
          </w:p>
          <w:p w14:paraId="62B11CE6" w14:textId="77777777" w:rsidR="00113EED" w:rsidRPr="00B70369" w:rsidRDefault="00113EED" w:rsidP="00B70369">
            <w:pPr>
              <w:ind w:left="-108"/>
              <w:rPr>
                <w:rFonts w:ascii="Arial" w:hAnsi="Arial" w:cs="Arial"/>
              </w:rPr>
            </w:pPr>
          </w:p>
          <w:p w14:paraId="3FAE7CCB" w14:textId="77777777" w:rsidR="00113EED" w:rsidRPr="00B70369" w:rsidRDefault="00113EED" w:rsidP="00B70369">
            <w:pPr>
              <w:ind w:left="-108"/>
              <w:rPr>
                <w:rFonts w:ascii="Arial" w:hAnsi="Arial" w:cs="Arial"/>
              </w:rPr>
            </w:pPr>
            <w:r w:rsidRPr="00B70369">
              <w:rPr>
                <w:rFonts w:ascii="Arial" w:hAnsi="Arial" w:cs="Arial"/>
              </w:rPr>
              <w:t>There are three types of breaches:</w:t>
            </w:r>
          </w:p>
          <w:p w14:paraId="3D90430D" w14:textId="77777777" w:rsidR="00113EED" w:rsidRPr="00B70369" w:rsidRDefault="00113EED" w:rsidP="00B70369">
            <w:pPr>
              <w:pStyle w:val="ListParagraph"/>
              <w:numPr>
                <w:ilvl w:val="0"/>
                <w:numId w:val="1"/>
              </w:numPr>
              <w:ind w:left="743" w:hanging="425"/>
              <w:rPr>
                <w:rFonts w:ascii="Arial" w:hAnsi="Arial" w:cs="Arial"/>
              </w:rPr>
            </w:pPr>
            <w:r w:rsidRPr="00B70369">
              <w:rPr>
                <w:rFonts w:ascii="Arial" w:hAnsi="Arial" w:cs="Arial"/>
              </w:rPr>
              <w:t>Confidentiality breach – unauthorised or accidental disclosure of, or access to personal data</w:t>
            </w:r>
          </w:p>
          <w:p w14:paraId="626914F3" w14:textId="77777777" w:rsidR="00113EED" w:rsidRPr="00B70369" w:rsidRDefault="00113EED" w:rsidP="00B70369">
            <w:pPr>
              <w:pStyle w:val="ListParagraph"/>
              <w:numPr>
                <w:ilvl w:val="0"/>
                <w:numId w:val="1"/>
              </w:numPr>
              <w:ind w:left="743" w:hanging="425"/>
              <w:rPr>
                <w:rFonts w:ascii="Arial" w:hAnsi="Arial" w:cs="Arial"/>
              </w:rPr>
            </w:pPr>
            <w:r w:rsidRPr="00B70369">
              <w:rPr>
                <w:rFonts w:ascii="Arial" w:hAnsi="Arial" w:cs="Arial"/>
              </w:rPr>
              <w:t>Integrity breach – unauthorised or accidental alteration of personal data</w:t>
            </w:r>
          </w:p>
          <w:p w14:paraId="74559633" w14:textId="77777777" w:rsidR="00113EED" w:rsidRPr="00B70369" w:rsidRDefault="00113EED" w:rsidP="00B70369">
            <w:pPr>
              <w:pStyle w:val="ListParagraph"/>
              <w:numPr>
                <w:ilvl w:val="0"/>
                <w:numId w:val="1"/>
              </w:numPr>
              <w:ind w:left="743" w:hanging="425"/>
              <w:rPr>
                <w:rFonts w:ascii="Arial" w:hAnsi="Arial" w:cs="Arial"/>
              </w:rPr>
            </w:pPr>
            <w:r w:rsidRPr="00B70369">
              <w:rPr>
                <w:rFonts w:ascii="Arial" w:hAnsi="Arial" w:cs="Arial"/>
              </w:rPr>
              <w:t>Availability breach – accidental or unauthorised loss of access to, or destruction of, personal data</w:t>
            </w:r>
          </w:p>
          <w:p w14:paraId="12702043" w14:textId="77777777" w:rsidR="00113EED" w:rsidRPr="00B70369" w:rsidRDefault="00113EED" w:rsidP="00B70369">
            <w:pPr>
              <w:rPr>
                <w:rFonts w:ascii="Arial" w:hAnsi="Arial" w:cs="Arial"/>
              </w:rPr>
            </w:pPr>
          </w:p>
        </w:tc>
      </w:tr>
    </w:tbl>
    <w:p w14:paraId="72FAFA0B" w14:textId="0CF459D7" w:rsidR="00113EED" w:rsidRDefault="00400F02" w:rsidP="00B70369">
      <w:pPr>
        <w:spacing w:after="0" w:line="240" w:lineRule="auto"/>
        <w:rPr>
          <w:rFonts w:ascii="Arial" w:hAnsi="Arial" w:cs="Arial"/>
          <w:b/>
        </w:rPr>
      </w:pPr>
      <w:r w:rsidRPr="00B70369">
        <w:rPr>
          <w:rFonts w:ascii="Arial" w:hAnsi="Arial" w:cs="Arial"/>
          <w:b/>
        </w:rPr>
        <w:t>Common data breaches</w:t>
      </w:r>
    </w:p>
    <w:p w14:paraId="565EBF4E" w14:textId="77777777" w:rsidR="00B70369" w:rsidRPr="00B70369" w:rsidRDefault="00B70369" w:rsidP="00B70369">
      <w:pPr>
        <w:spacing w:after="0" w:line="240" w:lineRule="auto"/>
        <w:rPr>
          <w:rFonts w:ascii="Arial" w:hAnsi="Arial" w:cs="Arial"/>
          <w:b/>
        </w:rPr>
      </w:pPr>
    </w:p>
    <w:p w14:paraId="1CF9C7DF" w14:textId="04953B40" w:rsidR="001120F3" w:rsidRPr="00B70369" w:rsidRDefault="001120F3" w:rsidP="00B70369">
      <w:pPr>
        <w:spacing w:after="0" w:line="240" w:lineRule="auto"/>
        <w:rPr>
          <w:rFonts w:ascii="Arial" w:hAnsi="Arial" w:cs="Arial"/>
        </w:rPr>
      </w:pPr>
      <w:r w:rsidRPr="00B70369">
        <w:rPr>
          <w:rFonts w:ascii="Arial" w:hAnsi="Arial" w:cs="Arial"/>
        </w:rPr>
        <w:lastRenderedPageBreak/>
        <w:t xml:space="preserve">Some breaches are more serious than others, but all should be registered on the data breach register.  Some common example of data breaches are </w:t>
      </w:r>
    </w:p>
    <w:p w14:paraId="417977FC" w14:textId="298BAB03" w:rsidR="001120F3" w:rsidRPr="00B70369" w:rsidRDefault="001120F3" w:rsidP="00B70369">
      <w:pPr>
        <w:pStyle w:val="NoSpacing"/>
        <w:numPr>
          <w:ilvl w:val="0"/>
          <w:numId w:val="9"/>
        </w:numPr>
        <w:rPr>
          <w:rFonts w:ascii="Arial" w:hAnsi="Arial" w:cs="Arial"/>
          <w:lang w:val="en"/>
        </w:rPr>
      </w:pPr>
      <w:r w:rsidRPr="00B70369">
        <w:rPr>
          <w:rFonts w:ascii="Arial" w:hAnsi="Arial" w:cs="Arial"/>
          <w:lang w:val="en"/>
        </w:rPr>
        <w:t>cyber incidents</w:t>
      </w:r>
      <w:r w:rsidR="00400F02" w:rsidRPr="00B70369">
        <w:rPr>
          <w:rFonts w:ascii="Arial" w:hAnsi="Arial" w:cs="Arial"/>
          <w:lang w:val="en"/>
        </w:rPr>
        <w:t xml:space="preserve"> </w:t>
      </w:r>
    </w:p>
    <w:p w14:paraId="0A401A08" w14:textId="533ECB5B" w:rsidR="001120F3" w:rsidRPr="00B70369" w:rsidRDefault="00400F02" w:rsidP="00B70369">
      <w:pPr>
        <w:pStyle w:val="NoSpacing"/>
        <w:numPr>
          <w:ilvl w:val="0"/>
          <w:numId w:val="9"/>
        </w:numPr>
        <w:rPr>
          <w:rFonts w:ascii="Arial" w:hAnsi="Arial" w:cs="Arial"/>
          <w:lang w:val="en"/>
        </w:rPr>
      </w:pPr>
      <w:r w:rsidRPr="00B70369">
        <w:rPr>
          <w:rFonts w:ascii="Arial" w:hAnsi="Arial" w:cs="Arial"/>
          <w:lang w:val="en"/>
        </w:rPr>
        <w:t>com</w:t>
      </w:r>
      <w:r w:rsidR="001120F3" w:rsidRPr="00B70369">
        <w:rPr>
          <w:rFonts w:ascii="Arial" w:hAnsi="Arial" w:cs="Arial"/>
          <w:lang w:val="en"/>
        </w:rPr>
        <w:t>promised or stolen credentials</w:t>
      </w:r>
    </w:p>
    <w:p w14:paraId="08544B82" w14:textId="77777777" w:rsidR="001120F3" w:rsidRPr="00B70369" w:rsidRDefault="00400F02" w:rsidP="00B70369">
      <w:pPr>
        <w:pStyle w:val="NoSpacing"/>
        <w:numPr>
          <w:ilvl w:val="0"/>
          <w:numId w:val="9"/>
        </w:numPr>
        <w:rPr>
          <w:rFonts w:ascii="Arial" w:hAnsi="Arial" w:cs="Arial"/>
          <w:lang w:val="en"/>
        </w:rPr>
      </w:pPr>
      <w:r w:rsidRPr="00B70369">
        <w:rPr>
          <w:rFonts w:ascii="Arial" w:hAnsi="Arial" w:cs="Arial"/>
          <w:lang w:val="en"/>
        </w:rPr>
        <w:t>theft of pa</w:t>
      </w:r>
      <w:r w:rsidR="001120F3" w:rsidRPr="00B70369">
        <w:rPr>
          <w:rFonts w:ascii="Arial" w:hAnsi="Arial" w:cs="Arial"/>
          <w:lang w:val="en"/>
        </w:rPr>
        <w:t>perwork or data storage devices</w:t>
      </w:r>
    </w:p>
    <w:p w14:paraId="2036A3C8" w14:textId="6B36030D" w:rsidR="001120F3" w:rsidRPr="00B70369" w:rsidRDefault="001120F3" w:rsidP="00B70369">
      <w:pPr>
        <w:pStyle w:val="NoSpacing"/>
        <w:numPr>
          <w:ilvl w:val="0"/>
          <w:numId w:val="9"/>
        </w:numPr>
        <w:rPr>
          <w:rFonts w:ascii="Arial" w:hAnsi="Arial" w:cs="Arial"/>
          <w:lang w:val="en"/>
        </w:rPr>
      </w:pPr>
      <w:r w:rsidRPr="00B70369">
        <w:rPr>
          <w:rFonts w:ascii="Arial" w:hAnsi="Arial" w:cs="Arial"/>
          <w:lang w:val="en"/>
        </w:rPr>
        <w:t>lost phones or laptops</w:t>
      </w:r>
    </w:p>
    <w:p w14:paraId="1DC0077C" w14:textId="6C9446D3" w:rsidR="00400F02" w:rsidRPr="00B70369" w:rsidRDefault="00B70369" w:rsidP="00B70369">
      <w:pPr>
        <w:pStyle w:val="NoSpacing"/>
        <w:numPr>
          <w:ilvl w:val="0"/>
          <w:numId w:val="9"/>
        </w:numPr>
        <w:rPr>
          <w:rFonts w:ascii="Arial" w:hAnsi="Arial" w:cs="Arial"/>
          <w:lang w:val="en"/>
        </w:rPr>
      </w:pPr>
      <w:r>
        <w:rPr>
          <w:rFonts w:ascii="Arial" w:hAnsi="Arial" w:cs="Arial"/>
          <w:lang w:val="en"/>
        </w:rPr>
        <w:t>employee misconduct</w:t>
      </w:r>
    </w:p>
    <w:p w14:paraId="5582F1D3" w14:textId="1A1B8D50" w:rsidR="001120F3" w:rsidRPr="00B70369" w:rsidRDefault="00400F02" w:rsidP="00B70369">
      <w:pPr>
        <w:pStyle w:val="NoSpacing"/>
        <w:numPr>
          <w:ilvl w:val="0"/>
          <w:numId w:val="9"/>
        </w:numPr>
        <w:rPr>
          <w:rFonts w:ascii="Arial" w:hAnsi="Arial" w:cs="Arial"/>
          <w:lang w:val="en"/>
        </w:rPr>
      </w:pPr>
      <w:proofErr w:type="gramStart"/>
      <w:r w:rsidRPr="00B70369">
        <w:rPr>
          <w:rFonts w:ascii="Arial" w:hAnsi="Arial" w:cs="Arial"/>
          <w:lang w:val="en"/>
        </w:rPr>
        <w:t>data</w:t>
      </w:r>
      <w:proofErr w:type="gramEnd"/>
      <w:r w:rsidRPr="00B70369">
        <w:rPr>
          <w:rFonts w:ascii="Arial" w:hAnsi="Arial" w:cs="Arial"/>
          <w:lang w:val="en"/>
        </w:rPr>
        <w:t xml:space="preserve"> sent to the wrong recipient. </w:t>
      </w:r>
    </w:p>
    <w:p w14:paraId="4E7F59F7" w14:textId="77777777" w:rsidR="001120F3" w:rsidRPr="00B70369" w:rsidRDefault="00400F02" w:rsidP="00B70369">
      <w:pPr>
        <w:pStyle w:val="NoSpacing"/>
        <w:numPr>
          <w:ilvl w:val="0"/>
          <w:numId w:val="9"/>
        </w:numPr>
        <w:rPr>
          <w:rFonts w:ascii="Arial" w:hAnsi="Arial" w:cs="Arial"/>
          <w:color w:val="222222"/>
        </w:rPr>
      </w:pPr>
      <w:r w:rsidRPr="00B70369">
        <w:rPr>
          <w:rFonts w:ascii="Arial" w:hAnsi="Arial" w:cs="Arial"/>
          <w:lang w:val="en"/>
        </w:rPr>
        <w:t xml:space="preserve">unintentionally released or published information </w:t>
      </w:r>
      <w:r w:rsidR="001120F3" w:rsidRPr="00B70369">
        <w:rPr>
          <w:rFonts w:ascii="Arial" w:hAnsi="Arial" w:cs="Arial"/>
          <w:lang w:val="en"/>
        </w:rPr>
        <w:t xml:space="preserve">  </w:t>
      </w:r>
    </w:p>
    <w:p w14:paraId="4CA684F5" w14:textId="06AB2949" w:rsidR="001120F3" w:rsidRPr="00B70369" w:rsidRDefault="001120F3" w:rsidP="00B70369">
      <w:pPr>
        <w:pStyle w:val="NoSpacing"/>
        <w:numPr>
          <w:ilvl w:val="0"/>
          <w:numId w:val="9"/>
        </w:numPr>
        <w:rPr>
          <w:rFonts w:ascii="Arial" w:hAnsi="Arial" w:cs="Arial"/>
          <w:color w:val="222222"/>
        </w:rPr>
      </w:pPr>
      <w:r w:rsidRPr="00B70369">
        <w:rPr>
          <w:rFonts w:ascii="Arial" w:hAnsi="Arial" w:cs="Arial"/>
          <w:lang w:val="en"/>
        </w:rPr>
        <w:t xml:space="preserve">accidentally </w:t>
      </w:r>
      <w:r w:rsidR="00400F02" w:rsidRPr="00B70369">
        <w:rPr>
          <w:rFonts w:ascii="Arial" w:hAnsi="Arial" w:cs="Arial"/>
          <w:lang w:val="en"/>
        </w:rPr>
        <w:t xml:space="preserve">clicking on a phishing email </w:t>
      </w:r>
    </w:p>
    <w:p w14:paraId="1382D388" w14:textId="05A383FC" w:rsidR="001120F3" w:rsidRPr="00B70369" w:rsidRDefault="001120F3" w:rsidP="00B70369">
      <w:pPr>
        <w:pStyle w:val="NoSpacing"/>
        <w:numPr>
          <w:ilvl w:val="0"/>
          <w:numId w:val="9"/>
        </w:numPr>
        <w:rPr>
          <w:rFonts w:ascii="Arial" w:eastAsia="Times New Roman" w:hAnsi="Arial" w:cs="Arial"/>
          <w:color w:val="222222"/>
          <w:lang w:eastAsia="en-GB"/>
        </w:rPr>
      </w:pPr>
      <w:r w:rsidRPr="00B70369">
        <w:rPr>
          <w:rFonts w:ascii="Arial" w:hAnsi="Arial" w:cs="Arial"/>
          <w:lang w:val="en"/>
        </w:rPr>
        <w:t>A</w:t>
      </w:r>
      <w:r w:rsidR="00B70369" w:rsidRPr="00B70369">
        <w:rPr>
          <w:rFonts w:ascii="Arial" w:eastAsia="Times New Roman" w:hAnsi="Arial" w:cs="Arial"/>
          <w:color w:val="222222"/>
          <w:lang w:eastAsia="en-GB"/>
        </w:rPr>
        <w:t>alteration</w:t>
      </w:r>
      <w:r w:rsidRPr="00B70369">
        <w:rPr>
          <w:rFonts w:ascii="Arial" w:eastAsia="Times New Roman" w:hAnsi="Arial" w:cs="Arial"/>
          <w:color w:val="222222"/>
          <w:lang w:eastAsia="en-GB"/>
        </w:rPr>
        <w:t xml:space="preserve"> of </w:t>
      </w:r>
      <w:r w:rsidRPr="00B70369">
        <w:rPr>
          <w:rFonts w:ascii="Arial" w:eastAsia="Times New Roman" w:hAnsi="Arial" w:cs="Arial"/>
          <w:b/>
          <w:bCs/>
          <w:color w:val="222222"/>
          <w:lang w:eastAsia="en-GB"/>
        </w:rPr>
        <w:t>personal data</w:t>
      </w:r>
      <w:r w:rsidRPr="00B70369">
        <w:rPr>
          <w:rFonts w:ascii="Arial" w:eastAsia="Times New Roman" w:hAnsi="Arial" w:cs="Arial"/>
          <w:color w:val="222222"/>
          <w:lang w:eastAsia="en-GB"/>
        </w:rPr>
        <w:t xml:space="preserve"> without permission</w:t>
      </w:r>
    </w:p>
    <w:p w14:paraId="569E1B61" w14:textId="77777777" w:rsidR="00400F02" w:rsidRPr="00B70369" w:rsidRDefault="00400F02" w:rsidP="00B70369">
      <w:pPr>
        <w:spacing w:after="0" w:line="240" w:lineRule="auto"/>
        <w:rPr>
          <w:rFonts w:ascii="Arial" w:hAnsi="Arial" w:cs="Arial"/>
          <w:b/>
        </w:rPr>
      </w:pPr>
    </w:p>
    <w:p w14:paraId="10103A33" w14:textId="55B42727" w:rsidR="001120F3" w:rsidRDefault="001120F3" w:rsidP="00B70369">
      <w:pPr>
        <w:spacing w:after="0" w:line="240" w:lineRule="auto"/>
        <w:rPr>
          <w:rFonts w:ascii="Arial" w:hAnsi="Arial" w:cs="Arial"/>
          <w:b/>
        </w:rPr>
      </w:pPr>
      <w:r w:rsidRPr="00B70369">
        <w:rPr>
          <w:rFonts w:ascii="Arial" w:hAnsi="Arial" w:cs="Arial"/>
          <w:b/>
        </w:rPr>
        <w:t>What to do?</w:t>
      </w:r>
    </w:p>
    <w:p w14:paraId="2B939E37" w14:textId="77777777" w:rsidR="00B70369" w:rsidRPr="00B70369" w:rsidRDefault="00B70369" w:rsidP="00B70369">
      <w:pPr>
        <w:spacing w:after="0" w:line="240" w:lineRule="auto"/>
        <w:rPr>
          <w:rFonts w:ascii="Arial" w:hAnsi="Arial" w:cs="Arial"/>
          <w:b/>
        </w:rPr>
      </w:pPr>
    </w:p>
    <w:p w14:paraId="599574F1" w14:textId="25110C8F" w:rsidR="001120F3" w:rsidRDefault="001120F3" w:rsidP="00B70369">
      <w:pPr>
        <w:spacing w:after="0" w:line="240" w:lineRule="auto"/>
        <w:rPr>
          <w:rFonts w:ascii="Arial" w:hAnsi="Arial" w:cs="Arial"/>
        </w:rPr>
      </w:pPr>
      <w:r w:rsidRPr="00B70369">
        <w:rPr>
          <w:rFonts w:ascii="Arial" w:hAnsi="Arial" w:cs="Arial"/>
        </w:rPr>
        <w:t xml:space="preserve">As soon as a member of staff thinks there </w:t>
      </w:r>
      <w:r w:rsidRPr="00756701">
        <w:rPr>
          <w:rFonts w:ascii="Arial" w:hAnsi="Arial" w:cs="Arial"/>
          <w:b/>
          <w:i/>
        </w:rPr>
        <w:t>may have been</w:t>
      </w:r>
      <w:r w:rsidRPr="00B70369">
        <w:rPr>
          <w:rFonts w:ascii="Arial" w:hAnsi="Arial" w:cs="Arial"/>
        </w:rPr>
        <w:t xml:space="preserve"> a breach, steps should be taken to stop any further damage.</w:t>
      </w:r>
      <w:r w:rsidR="00AD5E07" w:rsidRPr="00B70369">
        <w:rPr>
          <w:rFonts w:ascii="Arial" w:hAnsi="Arial" w:cs="Arial"/>
        </w:rPr>
        <w:t xml:space="preserve">  </w:t>
      </w:r>
      <w:r w:rsidR="00AD5E07" w:rsidRPr="00B70369">
        <w:rPr>
          <w:rFonts w:ascii="Arial" w:hAnsi="Arial" w:cs="Arial"/>
          <w:u w:val="single"/>
        </w:rPr>
        <w:t>Al</w:t>
      </w:r>
      <w:r w:rsidR="00AD5E07" w:rsidRPr="00B70369">
        <w:rPr>
          <w:rFonts w:ascii="Arial" w:hAnsi="Arial" w:cs="Arial"/>
        </w:rPr>
        <w:t xml:space="preserve">l suspected breaches should be reported to the line manager and also to the Data Protection Officer (Head of Business Services).  A way forward will then be agreed.  The DPO will provide guidance, will decide whether or not to inform the ICO and or the data subject and will update the breach register.  </w:t>
      </w:r>
      <w:r w:rsidR="00756701">
        <w:rPr>
          <w:rFonts w:ascii="Arial" w:hAnsi="Arial" w:cs="Arial"/>
        </w:rPr>
        <w:t>‘Near misses’ will also be recorded on the breach register, as they are an important way for us to monitor our data security, and provide valuable information to help us improve.</w:t>
      </w:r>
      <w:bookmarkStart w:id="0" w:name="_GoBack"/>
      <w:bookmarkEnd w:id="0"/>
    </w:p>
    <w:p w14:paraId="59297BDF" w14:textId="77777777" w:rsidR="00B70369" w:rsidRPr="00B70369" w:rsidRDefault="00B70369" w:rsidP="00B70369">
      <w:pPr>
        <w:spacing w:after="0" w:line="240" w:lineRule="auto"/>
        <w:rPr>
          <w:rFonts w:ascii="Arial" w:hAnsi="Arial" w:cs="Arial"/>
        </w:rPr>
      </w:pPr>
    </w:p>
    <w:p w14:paraId="21577E7F" w14:textId="77777777" w:rsidR="00113EED" w:rsidRDefault="00113EED" w:rsidP="00B70369">
      <w:pPr>
        <w:shd w:val="clear" w:color="auto" w:fill="FFFFFF" w:themeFill="background1"/>
        <w:spacing w:after="0" w:line="240" w:lineRule="auto"/>
        <w:rPr>
          <w:rFonts w:ascii="Arial" w:hAnsi="Arial" w:cs="Arial"/>
        </w:rPr>
      </w:pPr>
      <w:r w:rsidRPr="00B70369">
        <w:rPr>
          <w:rFonts w:ascii="Arial" w:hAnsi="Arial" w:cs="Arial"/>
          <w:b/>
        </w:rPr>
        <w:t>Reporting to the ICO</w:t>
      </w:r>
      <w:r w:rsidRPr="00B70369">
        <w:rPr>
          <w:rFonts w:ascii="Arial" w:hAnsi="Arial" w:cs="Arial"/>
        </w:rPr>
        <w:t xml:space="preserve"> </w:t>
      </w:r>
    </w:p>
    <w:p w14:paraId="2781F653" w14:textId="77777777" w:rsidR="00B70369" w:rsidRPr="00B70369" w:rsidRDefault="00B70369" w:rsidP="00B70369">
      <w:pPr>
        <w:shd w:val="clear" w:color="auto" w:fill="FFFFFF" w:themeFill="background1"/>
        <w:spacing w:after="0" w:line="240" w:lineRule="auto"/>
        <w:rPr>
          <w:rFonts w:ascii="Arial" w:hAnsi="Arial" w:cs="Arial"/>
        </w:rPr>
      </w:pPr>
    </w:p>
    <w:p w14:paraId="349C8369" w14:textId="2E08F4DB" w:rsidR="00113EED" w:rsidRDefault="00113EED" w:rsidP="00B70369">
      <w:pPr>
        <w:shd w:val="clear" w:color="auto" w:fill="FFFFFF" w:themeFill="background1"/>
        <w:spacing w:after="0" w:line="240" w:lineRule="auto"/>
        <w:rPr>
          <w:rFonts w:ascii="Arial" w:hAnsi="Arial" w:cs="Arial"/>
        </w:rPr>
      </w:pPr>
      <w:r w:rsidRPr="00B70369">
        <w:rPr>
          <w:rFonts w:ascii="Arial" w:hAnsi="Arial" w:cs="Arial"/>
        </w:rPr>
        <w:t>Personal data breaches must be reported to the ICO unless they are unlikely to result in risk to individual rights and freedoms (Article 33)</w:t>
      </w:r>
      <w:r w:rsidR="00B70369">
        <w:rPr>
          <w:rFonts w:ascii="Arial" w:hAnsi="Arial" w:cs="Arial"/>
        </w:rPr>
        <w:t>.</w:t>
      </w:r>
      <w:r w:rsidRPr="00B70369">
        <w:rPr>
          <w:rFonts w:ascii="Arial" w:hAnsi="Arial" w:cs="Arial"/>
        </w:rPr>
        <w:t xml:space="preserve"> The report must be made to the ICO within 72 hours of the time we are aware </w:t>
      </w:r>
      <w:r w:rsidRPr="00B70369">
        <w:rPr>
          <w:rFonts w:ascii="Arial" w:hAnsi="Arial" w:cs="Arial"/>
          <w:i/>
        </w:rPr>
        <w:t>with a reasonable degree of certainty</w:t>
      </w:r>
      <w:r w:rsidRPr="00B70369">
        <w:rPr>
          <w:rFonts w:ascii="Arial" w:hAnsi="Arial" w:cs="Arial"/>
        </w:rPr>
        <w:t xml:space="preserve"> that there has been</w:t>
      </w:r>
      <w:r w:rsidR="00AD5E07" w:rsidRPr="00B70369">
        <w:rPr>
          <w:rFonts w:ascii="Arial" w:hAnsi="Arial" w:cs="Arial"/>
        </w:rPr>
        <w:t xml:space="preserve"> a breach and there is risk (</w:t>
      </w:r>
      <w:r w:rsidRPr="00B70369">
        <w:rPr>
          <w:rFonts w:ascii="Arial" w:hAnsi="Arial" w:cs="Arial"/>
        </w:rPr>
        <w:t xml:space="preserve">we can do some </w:t>
      </w:r>
      <w:r w:rsidR="00AD5E07" w:rsidRPr="00B70369">
        <w:rPr>
          <w:rFonts w:ascii="Arial" w:hAnsi="Arial" w:cs="Arial"/>
        </w:rPr>
        <w:t xml:space="preserve">initial </w:t>
      </w:r>
      <w:r w:rsidRPr="00B70369">
        <w:rPr>
          <w:rFonts w:ascii="Arial" w:hAnsi="Arial" w:cs="Arial"/>
        </w:rPr>
        <w:t>investigating to reach this degree of certainty, before the clock starts running).</w:t>
      </w:r>
    </w:p>
    <w:p w14:paraId="3FD39F9A" w14:textId="77777777" w:rsidR="00B70369" w:rsidRPr="00B70369" w:rsidRDefault="00B70369" w:rsidP="00B70369">
      <w:pPr>
        <w:shd w:val="clear" w:color="auto" w:fill="FFFFFF" w:themeFill="background1"/>
        <w:spacing w:after="0" w:line="240" w:lineRule="auto"/>
        <w:rPr>
          <w:rFonts w:ascii="Arial" w:hAnsi="Arial" w:cs="Arial"/>
        </w:rPr>
      </w:pPr>
    </w:p>
    <w:p w14:paraId="736A329A" w14:textId="77777777" w:rsidR="00113EED" w:rsidRPr="00B70369" w:rsidRDefault="00113EED" w:rsidP="00B70369">
      <w:pPr>
        <w:shd w:val="clear" w:color="auto" w:fill="DEEAF6" w:themeFill="accent1" w:themeFillTint="33"/>
        <w:spacing w:after="0" w:line="240" w:lineRule="auto"/>
        <w:rPr>
          <w:rFonts w:ascii="Arial" w:hAnsi="Arial" w:cs="Arial"/>
        </w:rPr>
      </w:pPr>
      <w:r w:rsidRPr="00B70369">
        <w:rPr>
          <w:rFonts w:ascii="Arial" w:hAnsi="Arial" w:cs="Arial"/>
          <w:noProof/>
          <w:shd w:val="clear" w:color="auto" w:fill="D9D9D9" w:themeFill="background1" w:themeFillShade="D9"/>
          <w:lang w:eastAsia="en-GB"/>
        </w:rPr>
        <w:drawing>
          <wp:inline distT="0" distB="0" distL="0" distR="0" wp14:anchorId="0D1ED168" wp14:editId="72544BAF">
            <wp:extent cx="5876925" cy="1352550"/>
            <wp:effectExtent l="0" t="0" r="28575"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13EED" w:rsidRPr="00B70369" w14:paraId="5FB0A1D8" w14:textId="77777777" w:rsidTr="00280C5B">
        <w:trPr>
          <w:trHeight w:val="2833"/>
        </w:trPr>
        <w:tc>
          <w:tcPr>
            <w:tcW w:w="9016" w:type="dxa"/>
            <w:shd w:val="clear" w:color="auto" w:fill="FFFFFF" w:themeFill="background1"/>
          </w:tcPr>
          <w:p w14:paraId="5D84DCDA" w14:textId="77777777" w:rsidR="00B70369" w:rsidRDefault="00B70369" w:rsidP="00B70369">
            <w:pPr>
              <w:rPr>
                <w:rFonts w:ascii="Arial" w:hAnsi="Arial" w:cs="Arial"/>
                <w:b/>
              </w:rPr>
            </w:pPr>
          </w:p>
          <w:p w14:paraId="4C242785" w14:textId="77777777" w:rsidR="00113EED" w:rsidRDefault="00113EED" w:rsidP="00B70369">
            <w:pPr>
              <w:rPr>
                <w:rFonts w:ascii="Arial" w:hAnsi="Arial" w:cs="Arial"/>
                <w:b/>
              </w:rPr>
            </w:pPr>
            <w:r w:rsidRPr="00B70369">
              <w:rPr>
                <w:rFonts w:ascii="Arial" w:hAnsi="Arial" w:cs="Arial"/>
                <w:b/>
              </w:rPr>
              <w:t>Informing the data subject</w:t>
            </w:r>
          </w:p>
          <w:p w14:paraId="4D196DBD" w14:textId="77777777" w:rsidR="00B70369" w:rsidRPr="00B70369" w:rsidRDefault="00B70369" w:rsidP="00B70369">
            <w:pPr>
              <w:rPr>
                <w:rFonts w:ascii="Arial" w:hAnsi="Arial" w:cs="Arial"/>
                <w:b/>
              </w:rPr>
            </w:pPr>
          </w:p>
          <w:p w14:paraId="220CF09C" w14:textId="77777777" w:rsidR="00113EED" w:rsidRPr="00B70369" w:rsidRDefault="00113EED" w:rsidP="00B70369">
            <w:pPr>
              <w:rPr>
                <w:rFonts w:ascii="Arial" w:hAnsi="Arial" w:cs="Arial"/>
              </w:rPr>
            </w:pPr>
            <w:r w:rsidRPr="00B70369">
              <w:rPr>
                <w:rFonts w:ascii="Arial" w:hAnsi="Arial" w:cs="Arial"/>
              </w:rPr>
              <w:t xml:space="preserve">The data subject must be informed without delay if there is a high risk to their rights and freedoms (Article 34).  If we do this, we must use clear and plain language, and include all the details we have sent to the ICO.  </w:t>
            </w:r>
          </w:p>
          <w:p w14:paraId="65775B99" w14:textId="77777777" w:rsidR="00113EED" w:rsidRPr="00B70369" w:rsidRDefault="00113EED" w:rsidP="00B70369">
            <w:pPr>
              <w:rPr>
                <w:rFonts w:ascii="Arial" w:hAnsi="Arial" w:cs="Arial"/>
              </w:rPr>
            </w:pPr>
          </w:p>
          <w:p w14:paraId="2F01EF00" w14:textId="77777777" w:rsidR="00113EED" w:rsidRPr="00B70369" w:rsidRDefault="00113EED" w:rsidP="00B70369">
            <w:pPr>
              <w:rPr>
                <w:rFonts w:ascii="Arial" w:hAnsi="Arial" w:cs="Arial"/>
              </w:rPr>
            </w:pPr>
            <w:r w:rsidRPr="00B70369">
              <w:rPr>
                <w:rFonts w:ascii="Arial" w:hAnsi="Arial" w:cs="Arial"/>
              </w:rPr>
              <w:t>Even if there is a high risk, there are three possible conditions when we are not required to inform the data subject (Article 34 (3)):</w:t>
            </w:r>
          </w:p>
          <w:p w14:paraId="783A947C" w14:textId="77777777" w:rsidR="00113EED" w:rsidRPr="00B70369" w:rsidRDefault="00113EED" w:rsidP="00B70369">
            <w:pPr>
              <w:pStyle w:val="ListParagraph"/>
              <w:numPr>
                <w:ilvl w:val="0"/>
                <w:numId w:val="4"/>
              </w:numPr>
              <w:rPr>
                <w:rFonts w:ascii="Arial" w:hAnsi="Arial" w:cs="Arial"/>
              </w:rPr>
            </w:pPr>
            <w:r w:rsidRPr="00B70369">
              <w:rPr>
                <w:rFonts w:ascii="Arial" w:hAnsi="Arial" w:cs="Arial"/>
              </w:rPr>
              <w:t>Appropriate technical and organisational measures were taken to protect personal data (</w:t>
            </w:r>
            <w:proofErr w:type="spellStart"/>
            <w:r w:rsidRPr="00B70369">
              <w:rPr>
                <w:rFonts w:ascii="Arial" w:hAnsi="Arial" w:cs="Arial"/>
              </w:rPr>
              <w:t>eg</w:t>
            </w:r>
            <w:proofErr w:type="spellEnd"/>
            <w:r w:rsidRPr="00B70369">
              <w:rPr>
                <w:rFonts w:ascii="Arial" w:hAnsi="Arial" w:cs="Arial"/>
              </w:rPr>
              <w:t xml:space="preserve"> state of the art encryption)</w:t>
            </w:r>
          </w:p>
          <w:p w14:paraId="7A5F4FCE" w14:textId="77777777" w:rsidR="00113EED" w:rsidRPr="00B70369" w:rsidRDefault="00113EED" w:rsidP="00B70369">
            <w:pPr>
              <w:pStyle w:val="ListParagraph"/>
              <w:numPr>
                <w:ilvl w:val="0"/>
                <w:numId w:val="4"/>
              </w:numPr>
              <w:rPr>
                <w:rFonts w:ascii="Arial" w:hAnsi="Arial" w:cs="Arial"/>
              </w:rPr>
            </w:pPr>
            <w:r w:rsidRPr="00B70369">
              <w:rPr>
                <w:rFonts w:ascii="Arial" w:hAnsi="Arial" w:cs="Arial"/>
              </w:rPr>
              <w:t>Immediately following the breach we took steps to ensure the high risk was no longer likely to materialise.</w:t>
            </w:r>
          </w:p>
          <w:p w14:paraId="35858E4B" w14:textId="77777777" w:rsidR="00113EED" w:rsidRPr="00B70369" w:rsidRDefault="00113EED" w:rsidP="00B70369">
            <w:pPr>
              <w:pStyle w:val="ListParagraph"/>
              <w:numPr>
                <w:ilvl w:val="0"/>
                <w:numId w:val="4"/>
              </w:numPr>
              <w:rPr>
                <w:rFonts w:ascii="Arial" w:hAnsi="Arial" w:cs="Arial"/>
                <w:b/>
              </w:rPr>
            </w:pPr>
            <w:r w:rsidRPr="00B70369">
              <w:rPr>
                <w:rFonts w:ascii="Arial" w:hAnsi="Arial" w:cs="Arial"/>
              </w:rPr>
              <w:t>It would involve disproportionate effort to contact the individual.</w:t>
            </w:r>
          </w:p>
        </w:tc>
      </w:tr>
    </w:tbl>
    <w:p w14:paraId="163DCA11" w14:textId="77777777" w:rsidR="00113EED" w:rsidRPr="00B70369" w:rsidRDefault="00113EED" w:rsidP="00B70369">
      <w:pPr>
        <w:spacing w:after="0" w:line="240" w:lineRule="auto"/>
        <w:rPr>
          <w:rFonts w:ascii="Arial" w:hAnsi="Arial" w:cs="Arial"/>
          <w:b/>
        </w:rPr>
      </w:pPr>
    </w:p>
    <w:tbl>
      <w:tblPr>
        <w:tblStyle w:val="TableGrid"/>
        <w:tblW w:w="0" w:type="auto"/>
        <w:tblLook w:val="04A0" w:firstRow="1" w:lastRow="0" w:firstColumn="1" w:lastColumn="0" w:noHBand="0" w:noVBand="1"/>
      </w:tblPr>
      <w:tblGrid>
        <w:gridCol w:w="8996"/>
      </w:tblGrid>
      <w:tr w:rsidR="00113EED" w:rsidRPr="00B70369" w14:paraId="423B9813" w14:textId="77777777" w:rsidTr="00280C5B">
        <w:tc>
          <w:tcPr>
            <w:tcW w:w="8996" w:type="dxa"/>
            <w:tcBorders>
              <w:top w:val="nil"/>
              <w:left w:val="nil"/>
              <w:bottom w:val="nil"/>
              <w:right w:val="nil"/>
            </w:tcBorders>
            <w:shd w:val="clear" w:color="auto" w:fill="FFFFFF" w:themeFill="background1"/>
          </w:tcPr>
          <w:p w14:paraId="5B7DA58C" w14:textId="4BC607B6" w:rsidR="00113EED" w:rsidRPr="00B70369" w:rsidRDefault="00113EED" w:rsidP="00B70369">
            <w:pPr>
              <w:rPr>
                <w:rFonts w:ascii="Arial" w:hAnsi="Arial" w:cs="Arial"/>
                <w:b/>
              </w:rPr>
            </w:pPr>
            <w:r w:rsidRPr="00B70369">
              <w:rPr>
                <w:rFonts w:ascii="Arial" w:hAnsi="Arial" w:cs="Arial"/>
                <w:b/>
              </w:rPr>
              <w:t>Assessing risk to individual rights and freedoms</w:t>
            </w:r>
          </w:p>
          <w:p w14:paraId="7E44CE9D" w14:textId="77777777" w:rsidR="00113EED" w:rsidRPr="00B70369" w:rsidRDefault="00113EED" w:rsidP="00B70369">
            <w:pPr>
              <w:rPr>
                <w:rFonts w:ascii="Arial" w:hAnsi="Arial" w:cs="Arial"/>
              </w:rPr>
            </w:pPr>
          </w:p>
          <w:p w14:paraId="30B74650" w14:textId="77777777" w:rsidR="00113EED" w:rsidRPr="00B70369" w:rsidRDefault="00113EED" w:rsidP="00B70369">
            <w:pPr>
              <w:rPr>
                <w:rFonts w:ascii="Arial" w:hAnsi="Arial" w:cs="Arial"/>
              </w:rPr>
            </w:pPr>
            <w:r w:rsidRPr="00B70369">
              <w:rPr>
                <w:rFonts w:ascii="Arial" w:hAnsi="Arial" w:cs="Arial"/>
              </w:rPr>
              <w:lastRenderedPageBreak/>
              <w:t>Damage to individuals can be physical, material or non-material (</w:t>
            </w:r>
            <w:proofErr w:type="spellStart"/>
            <w:r w:rsidRPr="00B70369">
              <w:rPr>
                <w:rFonts w:ascii="Arial" w:hAnsi="Arial" w:cs="Arial"/>
              </w:rPr>
              <w:t>eg</w:t>
            </w:r>
            <w:proofErr w:type="spellEnd"/>
            <w:r w:rsidRPr="00B70369">
              <w:rPr>
                <w:rFonts w:ascii="Arial" w:hAnsi="Arial" w:cs="Arial"/>
              </w:rPr>
              <w:t xml:space="preserve"> risk of dissemination, identity theft or fraud, financial loss, or damaged reputation).  We should use objective criteria to make the assessment, including</w:t>
            </w:r>
          </w:p>
          <w:p w14:paraId="0211267C" w14:textId="77777777" w:rsidR="00113EED" w:rsidRPr="00B70369" w:rsidRDefault="00113EED" w:rsidP="00B70369">
            <w:pPr>
              <w:pStyle w:val="ListParagraph"/>
              <w:numPr>
                <w:ilvl w:val="0"/>
                <w:numId w:val="5"/>
              </w:numPr>
              <w:rPr>
                <w:rFonts w:ascii="Arial" w:hAnsi="Arial" w:cs="Arial"/>
              </w:rPr>
            </w:pPr>
            <w:r w:rsidRPr="00B70369">
              <w:rPr>
                <w:rFonts w:ascii="Arial" w:hAnsi="Arial" w:cs="Arial"/>
              </w:rPr>
              <w:t>The type of breach</w:t>
            </w:r>
          </w:p>
          <w:p w14:paraId="66FE1818" w14:textId="77777777" w:rsidR="00113EED" w:rsidRPr="00B70369" w:rsidRDefault="00113EED" w:rsidP="00B70369">
            <w:pPr>
              <w:pStyle w:val="ListParagraph"/>
              <w:numPr>
                <w:ilvl w:val="0"/>
                <w:numId w:val="5"/>
              </w:numPr>
              <w:rPr>
                <w:rFonts w:ascii="Arial" w:hAnsi="Arial" w:cs="Arial"/>
              </w:rPr>
            </w:pPr>
            <w:r w:rsidRPr="00B70369">
              <w:rPr>
                <w:rFonts w:ascii="Arial" w:hAnsi="Arial" w:cs="Arial"/>
              </w:rPr>
              <w:t>Nature, sensitivity and volume of personal data</w:t>
            </w:r>
          </w:p>
          <w:p w14:paraId="3CEF41A3" w14:textId="77777777" w:rsidR="00113EED" w:rsidRPr="00B70369" w:rsidRDefault="00113EED" w:rsidP="00B70369">
            <w:pPr>
              <w:pStyle w:val="ListParagraph"/>
              <w:numPr>
                <w:ilvl w:val="0"/>
                <w:numId w:val="5"/>
              </w:numPr>
              <w:rPr>
                <w:rFonts w:ascii="Arial" w:hAnsi="Arial" w:cs="Arial"/>
              </w:rPr>
            </w:pPr>
            <w:r w:rsidRPr="00B70369">
              <w:rPr>
                <w:rFonts w:ascii="Arial" w:hAnsi="Arial" w:cs="Arial"/>
              </w:rPr>
              <w:t>Ease of identifying individuals</w:t>
            </w:r>
          </w:p>
          <w:p w14:paraId="41B5F0CB" w14:textId="77777777" w:rsidR="00113EED" w:rsidRPr="00B70369" w:rsidRDefault="00113EED" w:rsidP="00B70369">
            <w:pPr>
              <w:pStyle w:val="ListParagraph"/>
              <w:numPr>
                <w:ilvl w:val="0"/>
                <w:numId w:val="5"/>
              </w:numPr>
              <w:rPr>
                <w:rFonts w:ascii="Arial" w:hAnsi="Arial" w:cs="Arial"/>
              </w:rPr>
            </w:pPr>
            <w:r w:rsidRPr="00B70369">
              <w:rPr>
                <w:rFonts w:ascii="Arial" w:hAnsi="Arial" w:cs="Arial"/>
              </w:rPr>
              <w:t>Severity of consequences</w:t>
            </w:r>
          </w:p>
          <w:p w14:paraId="7BE368C5" w14:textId="77777777" w:rsidR="00113EED" w:rsidRPr="00B70369" w:rsidRDefault="00113EED" w:rsidP="00B70369">
            <w:pPr>
              <w:pStyle w:val="ListParagraph"/>
              <w:numPr>
                <w:ilvl w:val="0"/>
                <w:numId w:val="5"/>
              </w:numPr>
              <w:rPr>
                <w:rFonts w:ascii="Arial" w:hAnsi="Arial" w:cs="Arial"/>
              </w:rPr>
            </w:pPr>
            <w:r w:rsidRPr="00B70369">
              <w:rPr>
                <w:rFonts w:ascii="Arial" w:hAnsi="Arial" w:cs="Arial"/>
              </w:rPr>
              <w:t>Any special characteristics placing them at greater risk of danger</w:t>
            </w:r>
          </w:p>
          <w:p w14:paraId="5E374347" w14:textId="77777777" w:rsidR="00113EED" w:rsidRPr="00B70369" w:rsidRDefault="00113EED" w:rsidP="00B70369">
            <w:pPr>
              <w:pStyle w:val="ListParagraph"/>
              <w:numPr>
                <w:ilvl w:val="0"/>
                <w:numId w:val="5"/>
              </w:numPr>
              <w:rPr>
                <w:rFonts w:ascii="Arial" w:hAnsi="Arial" w:cs="Arial"/>
              </w:rPr>
            </w:pPr>
            <w:r w:rsidRPr="00B70369">
              <w:rPr>
                <w:rFonts w:ascii="Arial" w:hAnsi="Arial" w:cs="Arial"/>
              </w:rPr>
              <w:t>Number of affected individuals</w:t>
            </w:r>
          </w:p>
          <w:p w14:paraId="091CE26C" w14:textId="77777777" w:rsidR="00113EED" w:rsidRPr="00B70369" w:rsidRDefault="00113EED" w:rsidP="00B70369">
            <w:pPr>
              <w:pStyle w:val="ListParagraph"/>
              <w:rPr>
                <w:rFonts w:ascii="Arial" w:hAnsi="Arial" w:cs="Arial"/>
              </w:rPr>
            </w:pPr>
          </w:p>
          <w:p w14:paraId="342704BA" w14:textId="77777777" w:rsidR="00113EED" w:rsidRPr="00B70369" w:rsidRDefault="00113EED" w:rsidP="00B70369">
            <w:pPr>
              <w:rPr>
                <w:rFonts w:ascii="Arial" w:hAnsi="Arial" w:cs="Arial"/>
              </w:rPr>
            </w:pPr>
            <w:r w:rsidRPr="00B70369">
              <w:rPr>
                <w:rFonts w:ascii="Arial" w:hAnsi="Arial" w:cs="Arial"/>
              </w:rPr>
              <w:t>Note – if the breach is of special category data, damage should be considered as likely to occur.</w:t>
            </w:r>
          </w:p>
          <w:p w14:paraId="66F1623E" w14:textId="77777777" w:rsidR="00113EED" w:rsidRPr="00B70369" w:rsidRDefault="00113EED" w:rsidP="00B70369">
            <w:pPr>
              <w:rPr>
                <w:rFonts w:ascii="Arial" w:hAnsi="Arial" w:cs="Arial"/>
              </w:rPr>
            </w:pPr>
          </w:p>
          <w:p w14:paraId="19A30AED" w14:textId="77777777" w:rsidR="00B70369" w:rsidRDefault="00B70369" w:rsidP="00B70369">
            <w:pPr>
              <w:rPr>
                <w:rFonts w:ascii="Arial" w:hAnsi="Arial" w:cs="Arial"/>
              </w:rPr>
            </w:pPr>
            <w:r>
              <w:rPr>
                <w:rFonts w:ascii="Arial" w:hAnsi="Arial" w:cs="Arial"/>
              </w:rPr>
              <w:t>Andrea Gabbitas</w:t>
            </w:r>
          </w:p>
          <w:p w14:paraId="5F11DFDD" w14:textId="77777777" w:rsidR="00B70369" w:rsidRDefault="00B70369" w:rsidP="00B70369">
            <w:pPr>
              <w:rPr>
                <w:rFonts w:ascii="Arial" w:hAnsi="Arial" w:cs="Arial"/>
              </w:rPr>
            </w:pPr>
            <w:r>
              <w:rPr>
                <w:rFonts w:ascii="Arial" w:hAnsi="Arial" w:cs="Arial"/>
              </w:rPr>
              <w:t>Head of Business Services</w:t>
            </w:r>
          </w:p>
          <w:p w14:paraId="57ED35F3" w14:textId="0722B693" w:rsidR="00B70369" w:rsidRPr="00B70369" w:rsidRDefault="00B70369" w:rsidP="00B70369">
            <w:pPr>
              <w:rPr>
                <w:rFonts w:ascii="Arial" w:hAnsi="Arial" w:cs="Arial"/>
              </w:rPr>
            </w:pPr>
            <w:r>
              <w:rPr>
                <w:rFonts w:ascii="Arial" w:hAnsi="Arial" w:cs="Arial"/>
              </w:rPr>
              <w:t>September 2019</w:t>
            </w:r>
          </w:p>
        </w:tc>
      </w:tr>
    </w:tbl>
    <w:p w14:paraId="0345E0DB" w14:textId="77777777" w:rsidR="00113EED" w:rsidRPr="00B70369" w:rsidRDefault="00113EED" w:rsidP="00B70369">
      <w:pPr>
        <w:spacing w:after="0" w:line="240" w:lineRule="auto"/>
        <w:rPr>
          <w:rFonts w:ascii="Arial" w:hAnsi="Arial" w:cs="Arial"/>
        </w:rPr>
      </w:pPr>
    </w:p>
    <w:p w14:paraId="2ACFDDC5" w14:textId="77777777" w:rsidR="00113EED" w:rsidRPr="00B70369" w:rsidRDefault="00113EED" w:rsidP="00B70369">
      <w:pPr>
        <w:spacing w:after="0" w:line="240" w:lineRule="auto"/>
        <w:rPr>
          <w:rFonts w:ascii="Arial" w:hAnsi="Arial" w:cs="Arial"/>
        </w:rPr>
      </w:pPr>
    </w:p>
    <w:p w14:paraId="0718E4F6" w14:textId="59C2D6A1" w:rsidR="00B70369" w:rsidRDefault="00B70369" w:rsidP="00B70369">
      <w:pPr>
        <w:spacing w:after="0" w:line="240" w:lineRule="auto"/>
        <w:rPr>
          <w:rFonts w:ascii="Arial" w:hAnsi="Arial" w:cs="Arial"/>
        </w:rPr>
      </w:pPr>
    </w:p>
    <w:p w14:paraId="3AECD9EA" w14:textId="77777777" w:rsidR="00B70369" w:rsidRPr="00B70369" w:rsidRDefault="00B70369" w:rsidP="00B70369">
      <w:pPr>
        <w:rPr>
          <w:rFonts w:ascii="Arial" w:hAnsi="Arial" w:cs="Arial"/>
        </w:rPr>
      </w:pPr>
    </w:p>
    <w:p w14:paraId="1BFBE1DB" w14:textId="77777777" w:rsidR="00B70369" w:rsidRPr="00B70369" w:rsidRDefault="00B70369" w:rsidP="00B70369">
      <w:pPr>
        <w:rPr>
          <w:rFonts w:ascii="Arial" w:hAnsi="Arial" w:cs="Arial"/>
        </w:rPr>
      </w:pPr>
    </w:p>
    <w:p w14:paraId="22B0C54B" w14:textId="2B70A879" w:rsidR="004C591F" w:rsidRPr="00B70369" w:rsidRDefault="004C591F" w:rsidP="00B70369">
      <w:pPr>
        <w:rPr>
          <w:rFonts w:ascii="Arial" w:hAnsi="Arial" w:cs="Arial"/>
        </w:rPr>
      </w:pPr>
    </w:p>
    <w:sectPr w:rsidR="004C591F" w:rsidRPr="00B70369" w:rsidSect="00B70369">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89F1E" w14:textId="77777777" w:rsidR="002867C8" w:rsidRDefault="002867C8" w:rsidP="00687BEE">
      <w:pPr>
        <w:spacing w:after="0" w:line="240" w:lineRule="auto"/>
      </w:pPr>
      <w:r>
        <w:separator/>
      </w:r>
    </w:p>
  </w:endnote>
  <w:endnote w:type="continuationSeparator" w:id="0">
    <w:p w14:paraId="41F06320" w14:textId="77777777" w:rsidR="002867C8" w:rsidRDefault="002867C8" w:rsidP="00687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CD19D" w14:textId="1E324D94" w:rsidR="00B70369" w:rsidRPr="00B70369" w:rsidRDefault="00B70369">
    <w:pPr>
      <w:pStyle w:val="Footer"/>
      <w:rPr>
        <w:rFonts w:ascii="Arial" w:hAnsi="Arial" w:cs="Arial"/>
        <w:sz w:val="16"/>
      </w:rPr>
    </w:pPr>
    <w:r w:rsidRPr="00B70369">
      <w:rPr>
        <w:rFonts w:ascii="Arial" w:hAnsi="Arial" w:cs="Arial"/>
        <w:sz w:val="16"/>
      </w:rPr>
      <w:t>Breach Guidance September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B72FA" w14:textId="77777777" w:rsidR="002867C8" w:rsidRDefault="002867C8" w:rsidP="00687BEE">
      <w:pPr>
        <w:spacing w:after="0" w:line="240" w:lineRule="auto"/>
      </w:pPr>
      <w:r>
        <w:separator/>
      </w:r>
    </w:p>
  </w:footnote>
  <w:footnote w:type="continuationSeparator" w:id="0">
    <w:p w14:paraId="75407BEC" w14:textId="77777777" w:rsidR="002867C8" w:rsidRDefault="002867C8" w:rsidP="00687B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CBAF5" w14:textId="18329B42" w:rsidR="00B70369" w:rsidRDefault="00B70369" w:rsidP="00B70369">
    <w:pPr>
      <w:pStyle w:val="Header"/>
      <w:jc w:val="right"/>
    </w:pPr>
    <w:r w:rsidRPr="00DB71B9">
      <w:rPr>
        <w:noProof/>
        <w:lang w:eastAsia="en-GB"/>
      </w:rPr>
      <w:drawing>
        <wp:inline distT="0" distB="0" distL="0" distR="0" wp14:anchorId="687B02C6" wp14:editId="522650ED">
          <wp:extent cx="3240405" cy="1083310"/>
          <wp:effectExtent l="0" t="0" r="0" b="254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0405" cy="10833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F137A"/>
    <w:multiLevelType w:val="multilevel"/>
    <w:tmpl w:val="EA4873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F51A3"/>
    <w:multiLevelType w:val="hybridMultilevel"/>
    <w:tmpl w:val="5A3E5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7F657E"/>
    <w:multiLevelType w:val="hybridMultilevel"/>
    <w:tmpl w:val="E69236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B251CA"/>
    <w:multiLevelType w:val="hybridMultilevel"/>
    <w:tmpl w:val="FF26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20667F"/>
    <w:multiLevelType w:val="hybridMultilevel"/>
    <w:tmpl w:val="FE2EF8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5D155A"/>
    <w:multiLevelType w:val="hybridMultilevel"/>
    <w:tmpl w:val="88FCA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A831E4"/>
    <w:multiLevelType w:val="hybridMultilevel"/>
    <w:tmpl w:val="71AA2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985AD0"/>
    <w:multiLevelType w:val="hybridMultilevel"/>
    <w:tmpl w:val="6BCA97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6D3CF8"/>
    <w:multiLevelType w:val="multilevel"/>
    <w:tmpl w:val="8E98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5"/>
  </w:num>
  <w:num w:numId="5">
    <w:abstractNumId w:val="3"/>
  </w:num>
  <w:num w:numId="6">
    <w:abstractNumId w:val="8"/>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E86"/>
    <w:rsid w:val="000D0511"/>
    <w:rsid w:val="001120F3"/>
    <w:rsid w:val="00113EED"/>
    <w:rsid w:val="00273512"/>
    <w:rsid w:val="002867C8"/>
    <w:rsid w:val="00400F02"/>
    <w:rsid w:val="004C591F"/>
    <w:rsid w:val="005C6ADB"/>
    <w:rsid w:val="0061504B"/>
    <w:rsid w:val="00687BEE"/>
    <w:rsid w:val="00756701"/>
    <w:rsid w:val="00A80317"/>
    <w:rsid w:val="00AD5E07"/>
    <w:rsid w:val="00B70369"/>
    <w:rsid w:val="00BB0E86"/>
    <w:rsid w:val="00D20C4D"/>
    <w:rsid w:val="00EB34DB"/>
    <w:rsid w:val="00F21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0770E"/>
  <w15:chartTrackingRefBased/>
  <w15:docId w15:val="{DE77F606-2B98-4BA1-AF3F-492629EE1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E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317"/>
    <w:pPr>
      <w:ind w:left="720"/>
      <w:contextualSpacing/>
    </w:pPr>
  </w:style>
  <w:style w:type="paragraph" w:styleId="Header">
    <w:name w:val="header"/>
    <w:basedOn w:val="Normal"/>
    <w:link w:val="HeaderChar"/>
    <w:uiPriority w:val="99"/>
    <w:unhideWhenUsed/>
    <w:rsid w:val="00687B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BEE"/>
  </w:style>
  <w:style w:type="paragraph" w:styleId="Footer">
    <w:name w:val="footer"/>
    <w:basedOn w:val="Normal"/>
    <w:link w:val="FooterChar"/>
    <w:uiPriority w:val="99"/>
    <w:unhideWhenUsed/>
    <w:rsid w:val="00687B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BEE"/>
  </w:style>
  <w:style w:type="table" w:styleId="TableGrid">
    <w:name w:val="Table Grid"/>
    <w:basedOn w:val="TableNormal"/>
    <w:uiPriority w:val="39"/>
    <w:rsid w:val="00113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0F0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120F3"/>
    <w:pPr>
      <w:spacing w:after="0" w:line="240" w:lineRule="auto"/>
    </w:pPr>
  </w:style>
  <w:style w:type="character" w:styleId="CommentReference">
    <w:name w:val="annotation reference"/>
    <w:basedOn w:val="DefaultParagraphFont"/>
    <w:uiPriority w:val="99"/>
    <w:semiHidden/>
    <w:unhideWhenUsed/>
    <w:rsid w:val="00B70369"/>
    <w:rPr>
      <w:sz w:val="16"/>
      <w:szCs w:val="16"/>
    </w:rPr>
  </w:style>
  <w:style w:type="paragraph" w:styleId="CommentText">
    <w:name w:val="annotation text"/>
    <w:basedOn w:val="Normal"/>
    <w:link w:val="CommentTextChar"/>
    <w:uiPriority w:val="99"/>
    <w:semiHidden/>
    <w:unhideWhenUsed/>
    <w:rsid w:val="00B70369"/>
    <w:pPr>
      <w:spacing w:line="240" w:lineRule="auto"/>
    </w:pPr>
    <w:rPr>
      <w:sz w:val="20"/>
      <w:szCs w:val="20"/>
    </w:rPr>
  </w:style>
  <w:style w:type="character" w:customStyle="1" w:styleId="CommentTextChar">
    <w:name w:val="Comment Text Char"/>
    <w:basedOn w:val="DefaultParagraphFont"/>
    <w:link w:val="CommentText"/>
    <w:uiPriority w:val="99"/>
    <w:semiHidden/>
    <w:rsid w:val="00B70369"/>
    <w:rPr>
      <w:sz w:val="20"/>
      <w:szCs w:val="20"/>
    </w:rPr>
  </w:style>
  <w:style w:type="paragraph" w:styleId="CommentSubject">
    <w:name w:val="annotation subject"/>
    <w:basedOn w:val="CommentText"/>
    <w:next w:val="CommentText"/>
    <w:link w:val="CommentSubjectChar"/>
    <w:uiPriority w:val="99"/>
    <w:semiHidden/>
    <w:unhideWhenUsed/>
    <w:rsid w:val="00B70369"/>
    <w:rPr>
      <w:b/>
      <w:bCs/>
    </w:rPr>
  </w:style>
  <w:style w:type="character" w:customStyle="1" w:styleId="CommentSubjectChar">
    <w:name w:val="Comment Subject Char"/>
    <w:basedOn w:val="CommentTextChar"/>
    <w:link w:val="CommentSubject"/>
    <w:uiPriority w:val="99"/>
    <w:semiHidden/>
    <w:rsid w:val="00B70369"/>
    <w:rPr>
      <w:b/>
      <w:bCs/>
      <w:sz w:val="20"/>
      <w:szCs w:val="20"/>
    </w:rPr>
  </w:style>
  <w:style w:type="paragraph" w:styleId="BalloonText">
    <w:name w:val="Balloon Text"/>
    <w:basedOn w:val="Normal"/>
    <w:link w:val="BalloonTextChar"/>
    <w:uiPriority w:val="99"/>
    <w:semiHidden/>
    <w:unhideWhenUsed/>
    <w:rsid w:val="00B703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3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728837">
      <w:bodyDiv w:val="1"/>
      <w:marLeft w:val="0"/>
      <w:marRight w:val="0"/>
      <w:marTop w:val="0"/>
      <w:marBottom w:val="0"/>
      <w:divBdr>
        <w:top w:val="none" w:sz="0" w:space="0" w:color="auto"/>
        <w:left w:val="none" w:sz="0" w:space="0" w:color="auto"/>
        <w:bottom w:val="none" w:sz="0" w:space="0" w:color="auto"/>
        <w:right w:val="none" w:sz="0" w:space="0" w:color="auto"/>
      </w:divBdr>
      <w:divsChild>
        <w:div w:id="1874877370">
          <w:marLeft w:val="0"/>
          <w:marRight w:val="0"/>
          <w:marTop w:val="0"/>
          <w:marBottom w:val="0"/>
          <w:divBdr>
            <w:top w:val="none" w:sz="0" w:space="0" w:color="auto"/>
            <w:left w:val="none" w:sz="0" w:space="0" w:color="auto"/>
            <w:bottom w:val="none" w:sz="0" w:space="0" w:color="auto"/>
            <w:right w:val="none" w:sz="0" w:space="0" w:color="auto"/>
          </w:divBdr>
          <w:divsChild>
            <w:div w:id="411509395">
              <w:marLeft w:val="0"/>
              <w:marRight w:val="0"/>
              <w:marTop w:val="0"/>
              <w:marBottom w:val="0"/>
              <w:divBdr>
                <w:top w:val="none" w:sz="0" w:space="0" w:color="auto"/>
                <w:left w:val="none" w:sz="0" w:space="0" w:color="auto"/>
                <w:bottom w:val="none" w:sz="0" w:space="0" w:color="auto"/>
                <w:right w:val="none" w:sz="0" w:space="0" w:color="auto"/>
              </w:divBdr>
              <w:divsChild>
                <w:div w:id="106394563">
                  <w:marLeft w:val="0"/>
                  <w:marRight w:val="0"/>
                  <w:marTop w:val="0"/>
                  <w:marBottom w:val="0"/>
                  <w:divBdr>
                    <w:top w:val="none" w:sz="0" w:space="0" w:color="auto"/>
                    <w:left w:val="none" w:sz="0" w:space="0" w:color="auto"/>
                    <w:bottom w:val="none" w:sz="0" w:space="0" w:color="auto"/>
                    <w:right w:val="none" w:sz="0" w:space="0" w:color="auto"/>
                  </w:divBdr>
                  <w:divsChild>
                    <w:div w:id="1928877706">
                      <w:marLeft w:val="0"/>
                      <w:marRight w:val="0"/>
                      <w:marTop w:val="0"/>
                      <w:marBottom w:val="0"/>
                      <w:divBdr>
                        <w:top w:val="none" w:sz="0" w:space="0" w:color="auto"/>
                        <w:left w:val="none" w:sz="0" w:space="0" w:color="auto"/>
                        <w:bottom w:val="none" w:sz="0" w:space="0" w:color="auto"/>
                        <w:right w:val="none" w:sz="0" w:space="0" w:color="auto"/>
                      </w:divBdr>
                      <w:divsChild>
                        <w:div w:id="2083596330">
                          <w:marLeft w:val="0"/>
                          <w:marRight w:val="0"/>
                          <w:marTop w:val="0"/>
                          <w:marBottom w:val="0"/>
                          <w:divBdr>
                            <w:top w:val="none" w:sz="0" w:space="0" w:color="auto"/>
                            <w:left w:val="none" w:sz="0" w:space="0" w:color="auto"/>
                            <w:bottom w:val="none" w:sz="0" w:space="0" w:color="auto"/>
                            <w:right w:val="none" w:sz="0" w:space="0" w:color="auto"/>
                          </w:divBdr>
                          <w:divsChild>
                            <w:div w:id="1733575051">
                              <w:marLeft w:val="2070"/>
                              <w:marRight w:val="3960"/>
                              <w:marTop w:val="0"/>
                              <w:marBottom w:val="0"/>
                              <w:divBdr>
                                <w:top w:val="none" w:sz="0" w:space="0" w:color="auto"/>
                                <w:left w:val="none" w:sz="0" w:space="0" w:color="auto"/>
                                <w:bottom w:val="none" w:sz="0" w:space="0" w:color="auto"/>
                                <w:right w:val="none" w:sz="0" w:space="0" w:color="auto"/>
                              </w:divBdr>
                              <w:divsChild>
                                <w:div w:id="170684967">
                                  <w:marLeft w:val="0"/>
                                  <w:marRight w:val="0"/>
                                  <w:marTop w:val="0"/>
                                  <w:marBottom w:val="0"/>
                                  <w:divBdr>
                                    <w:top w:val="none" w:sz="0" w:space="0" w:color="auto"/>
                                    <w:left w:val="none" w:sz="0" w:space="0" w:color="auto"/>
                                    <w:bottom w:val="none" w:sz="0" w:space="0" w:color="auto"/>
                                    <w:right w:val="none" w:sz="0" w:space="0" w:color="auto"/>
                                  </w:divBdr>
                                  <w:divsChild>
                                    <w:div w:id="1123964187">
                                      <w:marLeft w:val="0"/>
                                      <w:marRight w:val="0"/>
                                      <w:marTop w:val="0"/>
                                      <w:marBottom w:val="0"/>
                                      <w:divBdr>
                                        <w:top w:val="none" w:sz="0" w:space="0" w:color="auto"/>
                                        <w:left w:val="none" w:sz="0" w:space="0" w:color="auto"/>
                                        <w:bottom w:val="none" w:sz="0" w:space="0" w:color="auto"/>
                                        <w:right w:val="none" w:sz="0" w:space="0" w:color="auto"/>
                                      </w:divBdr>
                                      <w:divsChild>
                                        <w:div w:id="2072465495">
                                          <w:marLeft w:val="0"/>
                                          <w:marRight w:val="0"/>
                                          <w:marTop w:val="0"/>
                                          <w:marBottom w:val="0"/>
                                          <w:divBdr>
                                            <w:top w:val="none" w:sz="0" w:space="0" w:color="auto"/>
                                            <w:left w:val="none" w:sz="0" w:space="0" w:color="auto"/>
                                            <w:bottom w:val="none" w:sz="0" w:space="0" w:color="auto"/>
                                            <w:right w:val="none" w:sz="0" w:space="0" w:color="auto"/>
                                          </w:divBdr>
                                          <w:divsChild>
                                            <w:div w:id="2073891301">
                                              <w:marLeft w:val="0"/>
                                              <w:marRight w:val="0"/>
                                              <w:marTop w:val="90"/>
                                              <w:marBottom w:val="0"/>
                                              <w:divBdr>
                                                <w:top w:val="none" w:sz="0" w:space="0" w:color="auto"/>
                                                <w:left w:val="none" w:sz="0" w:space="0" w:color="auto"/>
                                                <w:bottom w:val="none" w:sz="0" w:space="0" w:color="auto"/>
                                                <w:right w:val="none" w:sz="0" w:space="0" w:color="auto"/>
                                              </w:divBdr>
                                              <w:divsChild>
                                                <w:div w:id="1856337067">
                                                  <w:marLeft w:val="0"/>
                                                  <w:marRight w:val="0"/>
                                                  <w:marTop w:val="0"/>
                                                  <w:marBottom w:val="0"/>
                                                  <w:divBdr>
                                                    <w:top w:val="none" w:sz="0" w:space="0" w:color="auto"/>
                                                    <w:left w:val="none" w:sz="0" w:space="0" w:color="auto"/>
                                                    <w:bottom w:val="none" w:sz="0" w:space="0" w:color="auto"/>
                                                    <w:right w:val="none" w:sz="0" w:space="0" w:color="auto"/>
                                                  </w:divBdr>
                                                  <w:divsChild>
                                                    <w:div w:id="1664697442">
                                                      <w:marLeft w:val="0"/>
                                                      <w:marRight w:val="0"/>
                                                      <w:marTop w:val="0"/>
                                                      <w:marBottom w:val="405"/>
                                                      <w:divBdr>
                                                        <w:top w:val="none" w:sz="0" w:space="0" w:color="auto"/>
                                                        <w:left w:val="none" w:sz="0" w:space="0" w:color="auto"/>
                                                        <w:bottom w:val="none" w:sz="0" w:space="0" w:color="auto"/>
                                                        <w:right w:val="none" w:sz="0" w:space="0" w:color="auto"/>
                                                      </w:divBdr>
                                                      <w:divsChild>
                                                        <w:div w:id="983000681">
                                                          <w:marLeft w:val="0"/>
                                                          <w:marRight w:val="0"/>
                                                          <w:marTop w:val="0"/>
                                                          <w:marBottom w:val="0"/>
                                                          <w:divBdr>
                                                            <w:top w:val="none" w:sz="0" w:space="0" w:color="auto"/>
                                                            <w:left w:val="none" w:sz="0" w:space="0" w:color="auto"/>
                                                            <w:bottom w:val="none" w:sz="0" w:space="0" w:color="auto"/>
                                                            <w:right w:val="none" w:sz="0" w:space="0" w:color="auto"/>
                                                          </w:divBdr>
                                                          <w:divsChild>
                                                            <w:div w:id="1909029551">
                                                              <w:marLeft w:val="0"/>
                                                              <w:marRight w:val="0"/>
                                                              <w:marTop w:val="0"/>
                                                              <w:marBottom w:val="0"/>
                                                              <w:divBdr>
                                                                <w:top w:val="none" w:sz="0" w:space="0" w:color="auto"/>
                                                                <w:left w:val="none" w:sz="0" w:space="0" w:color="auto"/>
                                                                <w:bottom w:val="none" w:sz="0" w:space="0" w:color="auto"/>
                                                                <w:right w:val="none" w:sz="0" w:space="0" w:color="auto"/>
                                                              </w:divBdr>
                                                              <w:divsChild>
                                                                <w:div w:id="558591857">
                                                                  <w:marLeft w:val="0"/>
                                                                  <w:marRight w:val="0"/>
                                                                  <w:marTop w:val="0"/>
                                                                  <w:marBottom w:val="0"/>
                                                                  <w:divBdr>
                                                                    <w:top w:val="none" w:sz="0" w:space="0" w:color="auto"/>
                                                                    <w:left w:val="none" w:sz="0" w:space="0" w:color="auto"/>
                                                                    <w:bottom w:val="none" w:sz="0" w:space="0" w:color="auto"/>
                                                                    <w:right w:val="none" w:sz="0" w:space="0" w:color="auto"/>
                                                                  </w:divBdr>
                                                                  <w:divsChild>
                                                                    <w:div w:id="1429235693">
                                                                      <w:marLeft w:val="0"/>
                                                                      <w:marRight w:val="0"/>
                                                                      <w:marTop w:val="0"/>
                                                                      <w:marBottom w:val="0"/>
                                                                      <w:divBdr>
                                                                        <w:top w:val="none" w:sz="0" w:space="0" w:color="auto"/>
                                                                        <w:left w:val="none" w:sz="0" w:space="0" w:color="auto"/>
                                                                        <w:bottom w:val="none" w:sz="0" w:space="0" w:color="auto"/>
                                                                        <w:right w:val="none" w:sz="0" w:space="0" w:color="auto"/>
                                                                      </w:divBdr>
                                                                      <w:divsChild>
                                                                        <w:div w:id="170605207">
                                                                          <w:marLeft w:val="0"/>
                                                                          <w:marRight w:val="0"/>
                                                                          <w:marTop w:val="0"/>
                                                                          <w:marBottom w:val="0"/>
                                                                          <w:divBdr>
                                                                            <w:top w:val="none" w:sz="0" w:space="0" w:color="auto"/>
                                                                            <w:left w:val="none" w:sz="0" w:space="0" w:color="auto"/>
                                                                            <w:bottom w:val="none" w:sz="0" w:space="0" w:color="auto"/>
                                                                            <w:right w:val="none" w:sz="0" w:space="0" w:color="auto"/>
                                                                          </w:divBdr>
                                                                          <w:divsChild>
                                                                            <w:div w:id="1112941397">
                                                                              <w:marLeft w:val="0"/>
                                                                              <w:marRight w:val="0"/>
                                                                              <w:marTop w:val="0"/>
                                                                              <w:marBottom w:val="0"/>
                                                                              <w:divBdr>
                                                                                <w:top w:val="none" w:sz="0" w:space="0" w:color="auto"/>
                                                                                <w:left w:val="none" w:sz="0" w:space="0" w:color="auto"/>
                                                                                <w:bottom w:val="none" w:sz="0" w:space="0" w:color="auto"/>
                                                                                <w:right w:val="none" w:sz="0" w:space="0" w:color="auto"/>
                                                                              </w:divBdr>
                                                                              <w:divsChild>
                                                                                <w:div w:id="2437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794085">
      <w:bodyDiv w:val="1"/>
      <w:marLeft w:val="0"/>
      <w:marRight w:val="0"/>
      <w:marTop w:val="0"/>
      <w:marBottom w:val="0"/>
      <w:divBdr>
        <w:top w:val="none" w:sz="0" w:space="0" w:color="auto"/>
        <w:left w:val="none" w:sz="0" w:space="0" w:color="auto"/>
        <w:bottom w:val="none" w:sz="0" w:space="0" w:color="auto"/>
        <w:right w:val="none" w:sz="0" w:space="0" w:color="auto"/>
      </w:divBdr>
      <w:divsChild>
        <w:div w:id="1028483727">
          <w:marLeft w:val="0"/>
          <w:marRight w:val="0"/>
          <w:marTop w:val="0"/>
          <w:marBottom w:val="0"/>
          <w:divBdr>
            <w:top w:val="none" w:sz="0" w:space="0" w:color="auto"/>
            <w:left w:val="none" w:sz="0" w:space="0" w:color="auto"/>
            <w:bottom w:val="none" w:sz="0" w:space="0" w:color="auto"/>
            <w:right w:val="none" w:sz="0" w:space="0" w:color="auto"/>
          </w:divBdr>
          <w:divsChild>
            <w:div w:id="880482948">
              <w:marLeft w:val="0"/>
              <w:marRight w:val="0"/>
              <w:marTop w:val="0"/>
              <w:marBottom w:val="0"/>
              <w:divBdr>
                <w:top w:val="none" w:sz="0" w:space="0" w:color="auto"/>
                <w:left w:val="none" w:sz="0" w:space="0" w:color="auto"/>
                <w:bottom w:val="none" w:sz="0" w:space="0" w:color="auto"/>
                <w:right w:val="none" w:sz="0" w:space="0" w:color="auto"/>
              </w:divBdr>
              <w:divsChild>
                <w:div w:id="1119833081">
                  <w:marLeft w:val="0"/>
                  <w:marRight w:val="0"/>
                  <w:marTop w:val="0"/>
                  <w:marBottom w:val="0"/>
                  <w:divBdr>
                    <w:top w:val="none" w:sz="0" w:space="0" w:color="auto"/>
                    <w:left w:val="none" w:sz="0" w:space="0" w:color="auto"/>
                    <w:bottom w:val="none" w:sz="0" w:space="0" w:color="auto"/>
                    <w:right w:val="none" w:sz="0" w:space="0" w:color="auto"/>
                  </w:divBdr>
                  <w:divsChild>
                    <w:div w:id="799881548">
                      <w:marLeft w:val="0"/>
                      <w:marRight w:val="0"/>
                      <w:marTop w:val="0"/>
                      <w:marBottom w:val="0"/>
                      <w:divBdr>
                        <w:top w:val="none" w:sz="0" w:space="0" w:color="auto"/>
                        <w:left w:val="none" w:sz="0" w:space="0" w:color="auto"/>
                        <w:bottom w:val="none" w:sz="0" w:space="0" w:color="auto"/>
                        <w:right w:val="none" w:sz="0" w:space="0" w:color="auto"/>
                      </w:divBdr>
                      <w:divsChild>
                        <w:div w:id="172178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96F47B-E82C-4740-AC39-2CAB723DC905}" type="doc">
      <dgm:prSet loTypeId="urn:microsoft.com/office/officeart/2005/8/layout/vProcess5" loCatId="process" qsTypeId="urn:microsoft.com/office/officeart/2005/8/quickstyle/simple1" qsCatId="simple" csTypeId="urn:microsoft.com/office/officeart/2005/8/colors/accent1_5" csCatId="accent1" phldr="1"/>
      <dgm:spPr/>
      <dgm:t>
        <a:bodyPr/>
        <a:lstStyle/>
        <a:p>
          <a:endParaRPr lang="en-GB"/>
        </a:p>
      </dgm:t>
    </dgm:pt>
    <dgm:pt modelId="{C140A4F1-2DDB-48E6-BA17-1546F61C2D96}">
      <dgm:prSet phldrT="[Text]"/>
      <dgm:spPr/>
      <dgm:t>
        <a:bodyPr/>
        <a:lstStyle/>
        <a:p>
          <a:r>
            <a:rPr lang="en-GB"/>
            <a:t>Possible personal data breach identified - staff member must report to  Data Protection Officer and take action to protect personal data as soon as possible</a:t>
          </a:r>
        </a:p>
      </dgm:t>
    </dgm:pt>
    <dgm:pt modelId="{AF3FF36F-508E-4C0E-9EBC-A98040DE9CCB}" type="parTrans" cxnId="{6D45E0E3-F45E-4A72-81DC-7F25787D3381}">
      <dgm:prSet/>
      <dgm:spPr/>
      <dgm:t>
        <a:bodyPr/>
        <a:lstStyle/>
        <a:p>
          <a:endParaRPr lang="en-GB"/>
        </a:p>
      </dgm:t>
    </dgm:pt>
    <dgm:pt modelId="{1B869721-FE79-49F9-BA04-F3F441CFA2D7}" type="sibTrans" cxnId="{6D45E0E3-F45E-4A72-81DC-7F25787D3381}">
      <dgm:prSet/>
      <dgm:spPr/>
      <dgm:t>
        <a:bodyPr/>
        <a:lstStyle/>
        <a:p>
          <a:endParaRPr lang="en-GB"/>
        </a:p>
      </dgm:t>
    </dgm:pt>
    <dgm:pt modelId="{F5F18BB4-A3EB-4CFF-B470-B040FF04576F}">
      <dgm:prSet/>
      <dgm:spPr/>
      <dgm:t>
        <a:bodyPr/>
        <a:lstStyle/>
        <a:p>
          <a:r>
            <a:rPr lang="en-GB"/>
            <a:t>Initial investigations - until there is </a:t>
          </a:r>
          <a:r>
            <a:rPr lang="en-GB" i="1"/>
            <a:t>reasonable certainty </a:t>
          </a:r>
          <a:r>
            <a:rPr lang="en-GB" i="0"/>
            <a:t>that there has been a breach and there is some risk to individuals</a:t>
          </a:r>
          <a:endParaRPr lang="en-GB"/>
        </a:p>
      </dgm:t>
    </dgm:pt>
    <dgm:pt modelId="{4F5532BC-8A32-45A9-BD2F-4B254C55D2A5}" type="parTrans" cxnId="{117D9C54-D9DA-41C9-826C-E1658BC24735}">
      <dgm:prSet/>
      <dgm:spPr/>
      <dgm:t>
        <a:bodyPr/>
        <a:lstStyle/>
        <a:p>
          <a:endParaRPr lang="en-GB"/>
        </a:p>
      </dgm:t>
    </dgm:pt>
    <dgm:pt modelId="{EDA28774-5C1E-4F79-9334-19C4205A5970}" type="sibTrans" cxnId="{117D9C54-D9DA-41C9-826C-E1658BC24735}">
      <dgm:prSet/>
      <dgm:spPr/>
      <dgm:t>
        <a:bodyPr/>
        <a:lstStyle/>
        <a:p>
          <a:endParaRPr lang="en-GB"/>
        </a:p>
      </dgm:t>
    </dgm:pt>
    <dgm:pt modelId="{339449D4-D1AA-4203-9BD4-955007B45CF6}">
      <dgm:prSet/>
      <dgm:spPr/>
      <dgm:t>
        <a:bodyPr/>
        <a:lstStyle/>
        <a:p>
          <a:r>
            <a:rPr lang="en-GB">
              <a:solidFill>
                <a:srgbClr val="FF0000"/>
              </a:solidFill>
            </a:rPr>
            <a:t>If required </a:t>
          </a:r>
          <a:r>
            <a:rPr lang="en-GB"/>
            <a:t>report to ICO,  and to the data subject, following the initial investigations</a:t>
          </a:r>
        </a:p>
      </dgm:t>
    </dgm:pt>
    <dgm:pt modelId="{8A5B7578-57B8-471F-8CF4-836AA3C0CA84}" type="parTrans" cxnId="{217BD138-A43A-4E54-83BD-C1CD2DA55F2D}">
      <dgm:prSet/>
      <dgm:spPr/>
      <dgm:t>
        <a:bodyPr/>
        <a:lstStyle/>
        <a:p>
          <a:endParaRPr lang="en-GB"/>
        </a:p>
      </dgm:t>
    </dgm:pt>
    <dgm:pt modelId="{133F3544-4CC9-430E-9345-6EEDD9273D03}" type="sibTrans" cxnId="{217BD138-A43A-4E54-83BD-C1CD2DA55F2D}">
      <dgm:prSet/>
      <dgm:spPr/>
      <dgm:t>
        <a:bodyPr/>
        <a:lstStyle/>
        <a:p>
          <a:endParaRPr lang="en-GB"/>
        </a:p>
      </dgm:t>
    </dgm:pt>
    <dgm:pt modelId="{48CEB195-4A36-4903-896F-934E8A30C671}">
      <dgm:prSet/>
      <dgm:spPr/>
      <dgm:t>
        <a:bodyPr/>
        <a:lstStyle/>
        <a:p>
          <a:r>
            <a:rPr lang="en-GB"/>
            <a:t>Assess level of risk to individual rights and freedoms</a:t>
          </a:r>
        </a:p>
      </dgm:t>
    </dgm:pt>
    <dgm:pt modelId="{931F17DA-F8CC-41BB-A296-C31ED3F6D3EB}" type="parTrans" cxnId="{2DB0FEEF-E87C-410C-B505-58318E3FA2B5}">
      <dgm:prSet/>
      <dgm:spPr/>
      <dgm:t>
        <a:bodyPr/>
        <a:lstStyle/>
        <a:p>
          <a:endParaRPr lang="en-GB"/>
        </a:p>
      </dgm:t>
    </dgm:pt>
    <dgm:pt modelId="{D9211B7F-CC2E-4655-8A6B-B73748EAEE50}" type="sibTrans" cxnId="{2DB0FEEF-E87C-410C-B505-58318E3FA2B5}">
      <dgm:prSet/>
      <dgm:spPr/>
      <dgm:t>
        <a:bodyPr/>
        <a:lstStyle/>
        <a:p>
          <a:endParaRPr lang="en-GB"/>
        </a:p>
      </dgm:t>
    </dgm:pt>
    <dgm:pt modelId="{19AB8826-1A75-4385-94B3-5D49D6C3F17F}">
      <dgm:prSet/>
      <dgm:spPr/>
      <dgm:t>
        <a:bodyPr/>
        <a:lstStyle/>
        <a:p>
          <a:r>
            <a:rPr lang="en-GB"/>
            <a:t>DPO will add to breach register</a:t>
          </a:r>
        </a:p>
      </dgm:t>
    </dgm:pt>
    <dgm:pt modelId="{511376C9-0ABB-454D-AAFB-8D41A4C07137}" type="parTrans" cxnId="{0514398B-FBD1-44AA-8A16-9097DCA988F0}">
      <dgm:prSet/>
      <dgm:spPr/>
      <dgm:t>
        <a:bodyPr/>
        <a:lstStyle/>
        <a:p>
          <a:endParaRPr lang="en-GB"/>
        </a:p>
      </dgm:t>
    </dgm:pt>
    <dgm:pt modelId="{C82C9FD6-E65C-4DBC-B819-6D800CF1DE26}" type="sibTrans" cxnId="{0514398B-FBD1-44AA-8A16-9097DCA988F0}">
      <dgm:prSet/>
      <dgm:spPr/>
      <dgm:t>
        <a:bodyPr/>
        <a:lstStyle/>
        <a:p>
          <a:endParaRPr lang="en-GB"/>
        </a:p>
      </dgm:t>
    </dgm:pt>
    <dgm:pt modelId="{0BDD7C15-FA38-4EBC-888D-96D029CE977F}">
      <dgm:prSet/>
      <dgm:spPr/>
      <dgm:t>
        <a:bodyPr/>
        <a:lstStyle/>
        <a:p>
          <a:endParaRPr lang="en-GB"/>
        </a:p>
      </dgm:t>
    </dgm:pt>
    <dgm:pt modelId="{EE6A4F3E-12E1-418B-BBE0-6CB998FDEF83}" type="parTrans" cxnId="{178C9387-277C-4725-8AB2-FE4165FEF28F}">
      <dgm:prSet/>
      <dgm:spPr/>
      <dgm:t>
        <a:bodyPr/>
        <a:lstStyle/>
        <a:p>
          <a:endParaRPr lang="en-GB"/>
        </a:p>
      </dgm:t>
    </dgm:pt>
    <dgm:pt modelId="{65F34B18-5EC9-4699-A289-2AEF06439F88}" type="sibTrans" cxnId="{178C9387-277C-4725-8AB2-FE4165FEF28F}">
      <dgm:prSet/>
      <dgm:spPr/>
      <dgm:t>
        <a:bodyPr/>
        <a:lstStyle/>
        <a:p>
          <a:endParaRPr lang="en-GB"/>
        </a:p>
      </dgm:t>
    </dgm:pt>
    <dgm:pt modelId="{0DB0E492-694C-4FFD-AFAA-ABC922D369A3}" type="pres">
      <dgm:prSet presAssocID="{B896F47B-E82C-4740-AC39-2CAB723DC905}" presName="outerComposite" presStyleCnt="0">
        <dgm:presLayoutVars>
          <dgm:chMax val="5"/>
          <dgm:dir/>
          <dgm:resizeHandles val="exact"/>
        </dgm:presLayoutVars>
      </dgm:prSet>
      <dgm:spPr/>
      <dgm:t>
        <a:bodyPr/>
        <a:lstStyle/>
        <a:p>
          <a:endParaRPr lang="en-GB"/>
        </a:p>
      </dgm:t>
    </dgm:pt>
    <dgm:pt modelId="{73F11A60-27FC-4109-A2C1-0DBBA08FCB9F}" type="pres">
      <dgm:prSet presAssocID="{B896F47B-E82C-4740-AC39-2CAB723DC905}" presName="dummyMaxCanvas" presStyleCnt="0">
        <dgm:presLayoutVars/>
      </dgm:prSet>
      <dgm:spPr/>
    </dgm:pt>
    <dgm:pt modelId="{23A2DC7D-EFE6-48BC-808B-EA8CE4680E87}" type="pres">
      <dgm:prSet presAssocID="{B896F47B-E82C-4740-AC39-2CAB723DC905}" presName="FiveNodes_1" presStyleLbl="node1" presStyleIdx="0" presStyleCnt="5">
        <dgm:presLayoutVars>
          <dgm:bulletEnabled val="1"/>
        </dgm:presLayoutVars>
      </dgm:prSet>
      <dgm:spPr/>
      <dgm:t>
        <a:bodyPr/>
        <a:lstStyle/>
        <a:p>
          <a:endParaRPr lang="en-GB"/>
        </a:p>
      </dgm:t>
    </dgm:pt>
    <dgm:pt modelId="{B5D901EA-5C36-41E3-A3B8-655920B9907F}" type="pres">
      <dgm:prSet presAssocID="{B896F47B-E82C-4740-AC39-2CAB723DC905}" presName="FiveNodes_2" presStyleLbl="node1" presStyleIdx="1" presStyleCnt="5">
        <dgm:presLayoutVars>
          <dgm:bulletEnabled val="1"/>
        </dgm:presLayoutVars>
      </dgm:prSet>
      <dgm:spPr/>
      <dgm:t>
        <a:bodyPr/>
        <a:lstStyle/>
        <a:p>
          <a:endParaRPr lang="en-GB"/>
        </a:p>
      </dgm:t>
    </dgm:pt>
    <dgm:pt modelId="{5C20C426-9A84-4189-821C-77F1C405900C}" type="pres">
      <dgm:prSet presAssocID="{B896F47B-E82C-4740-AC39-2CAB723DC905}" presName="FiveNodes_3" presStyleLbl="node1" presStyleIdx="2" presStyleCnt="5">
        <dgm:presLayoutVars>
          <dgm:bulletEnabled val="1"/>
        </dgm:presLayoutVars>
      </dgm:prSet>
      <dgm:spPr/>
      <dgm:t>
        <a:bodyPr/>
        <a:lstStyle/>
        <a:p>
          <a:endParaRPr lang="en-GB"/>
        </a:p>
      </dgm:t>
    </dgm:pt>
    <dgm:pt modelId="{CF2F489B-D228-452E-AF1B-14EAEC84D9F6}" type="pres">
      <dgm:prSet presAssocID="{B896F47B-E82C-4740-AC39-2CAB723DC905}" presName="FiveNodes_4" presStyleLbl="node1" presStyleIdx="3" presStyleCnt="5" custLinFactNeighborY="4284">
        <dgm:presLayoutVars>
          <dgm:bulletEnabled val="1"/>
        </dgm:presLayoutVars>
      </dgm:prSet>
      <dgm:spPr/>
      <dgm:t>
        <a:bodyPr/>
        <a:lstStyle/>
        <a:p>
          <a:endParaRPr lang="en-GB"/>
        </a:p>
      </dgm:t>
    </dgm:pt>
    <dgm:pt modelId="{F044CA19-7905-4252-A875-8EA948385D44}" type="pres">
      <dgm:prSet presAssocID="{B896F47B-E82C-4740-AC39-2CAB723DC905}" presName="FiveNodes_5" presStyleLbl="node1" presStyleIdx="4" presStyleCnt="5" custLinFactNeighborX="-2615" custLinFactNeighborY="0">
        <dgm:presLayoutVars>
          <dgm:bulletEnabled val="1"/>
        </dgm:presLayoutVars>
      </dgm:prSet>
      <dgm:spPr/>
      <dgm:t>
        <a:bodyPr/>
        <a:lstStyle/>
        <a:p>
          <a:endParaRPr lang="en-GB"/>
        </a:p>
      </dgm:t>
    </dgm:pt>
    <dgm:pt modelId="{5C430FE4-CF7B-4854-8156-D2219E46E42D}" type="pres">
      <dgm:prSet presAssocID="{B896F47B-E82C-4740-AC39-2CAB723DC905}" presName="FiveConn_1-2" presStyleLbl="fgAccFollowNode1" presStyleIdx="0" presStyleCnt="4">
        <dgm:presLayoutVars>
          <dgm:bulletEnabled val="1"/>
        </dgm:presLayoutVars>
      </dgm:prSet>
      <dgm:spPr/>
      <dgm:t>
        <a:bodyPr/>
        <a:lstStyle/>
        <a:p>
          <a:endParaRPr lang="en-GB"/>
        </a:p>
      </dgm:t>
    </dgm:pt>
    <dgm:pt modelId="{B572B758-5CCE-4570-A581-DC9FCF0BFD4B}" type="pres">
      <dgm:prSet presAssocID="{B896F47B-E82C-4740-AC39-2CAB723DC905}" presName="FiveConn_2-3" presStyleLbl="fgAccFollowNode1" presStyleIdx="1" presStyleCnt="4">
        <dgm:presLayoutVars>
          <dgm:bulletEnabled val="1"/>
        </dgm:presLayoutVars>
      </dgm:prSet>
      <dgm:spPr/>
      <dgm:t>
        <a:bodyPr/>
        <a:lstStyle/>
        <a:p>
          <a:endParaRPr lang="en-GB"/>
        </a:p>
      </dgm:t>
    </dgm:pt>
    <dgm:pt modelId="{2FC94F44-6FC4-46E8-A9D4-493975434BF2}" type="pres">
      <dgm:prSet presAssocID="{B896F47B-E82C-4740-AC39-2CAB723DC905}" presName="FiveConn_3-4" presStyleLbl="fgAccFollowNode1" presStyleIdx="2" presStyleCnt="4">
        <dgm:presLayoutVars>
          <dgm:bulletEnabled val="1"/>
        </dgm:presLayoutVars>
      </dgm:prSet>
      <dgm:spPr/>
      <dgm:t>
        <a:bodyPr/>
        <a:lstStyle/>
        <a:p>
          <a:endParaRPr lang="en-GB"/>
        </a:p>
      </dgm:t>
    </dgm:pt>
    <dgm:pt modelId="{4BAA2399-1340-4E97-BD83-1F58969F9EE2}" type="pres">
      <dgm:prSet presAssocID="{B896F47B-E82C-4740-AC39-2CAB723DC905}" presName="FiveConn_4-5" presStyleLbl="fgAccFollowNode1" presStyleIdx="3" presStyleCnt="4">
        <dgm:presLayoutVars>
          <dgm:bulletEnabled val="1"/>
        </dgm:presLayoutVars>
      </dgm:prSet>
      <dgm:spPr/>
      <dgm:t>
        <a:bodyPr/>
        <a:lstStyle/>
        <a:p>
          <a:endParaRPr lang="en-GB"/>
        </a:p>
      </dgm:t>
    </dgm:pt>
    <dgm:pt modelId="{3CF18C1D-F072-465B-BD45-2439DB630BB4}" type="pres">
      <dgm:prSet presAssocID="{B896F47B-E82C-4740-AC39-2CAB723DC905}" presName="FiveNodes_1_text" presStyleLbl="node1" presStyleIdx="4" presStyleCnt="5">
        <dgm:presLayoutVars>
          <dgm:bulletEnabled val="1"/>
        </dgm:presLayoutVars>
      </dgm:prSet>
      <dgm:spPr/>
      <dgm:t>
        <a:bodyPr/>
        <a:lstStyle/>
        <a:p>
          <a:endParaRPr lang="en-GB"/>
        </a:p>
      </dgm:t>
    </dgm:pt>
    <dgm:pt modelId="{320D9B35-9EF5-495C-A211-F7AC59470BA2}" type="pres">
      <dgm:prSet presAssocID="{B896F47B-E82C-4740-AC39-2CAB723DC905}" presName="FiveNodes_2_text" presStyleLbl="node1" presStyleIdx="4" presStyleCnt="5">
        <dgm:presLayoutVars>
          <dgm:bulletEnabled val="1"/>
        </dgm:presLayoutVars>
      </dgm:prSet>
      <dgm:spPr/>
      <dgm:t>
        <a:bodyPr/>
        <a:lstStyle/>
        <a:p>
          <a:endParaRPr lang="en-GB"/>
        </a:p>
      </dgm:t>
    </dgm:pt>
    <dgm:pt modelId="{0642E5BC-6714-4D40-8EBA-9FEFF52A2EDF}" type="pres">
      <dgm:prSet presAssocID="{B896F47B-E82C-4740-AC39-2CAB723DC905}" presName="FiveNodes_3_text" presStyleLbl="node1" presStyleIdx="4" presStyleCnt="5">
        <dgm:presLayoutVars>
          <dgm:bulletEnabled val="1"/>
        </dgm:presLayoutVars>
      </dgm:prSet>
      <dgm:spPr/>
      <dgm:t>
        <a:bodyPr/>
        <a:lstStyle/>
        <a:p>
          <a:endParaRPr lang="en-GB"/>
        </a:p>
      </dgm:t>
    </dgm:pt>
    <dgm:pt modelId="{097C464B-B592-4A1C-A4CF-4AE4C68AA0A2}" type="pres">
      <dgm:prSet presAssocID="{B896F47B-E82C-4740-AC39-2CAB723DC905}" presName="FiveNodes_4_text" presStyleLbl="node1" presStyleIdx="4" presStyleCnt="5">
        <dgm:presLayoutVars>
          <dgm:bulletEnabled val="1"/>
        </dgm:presLayoutVars>
      </dgm:prSet>
      <dgm:spPr/>
      <dgm:t>
        <a:bodyPr/>
        <a:lstStyle/>
        <a:p>
          <a:endParaRPr lang="en-GB"/>
        </a:p>
      </dgm:t>
    </dgm:pt>
    <dgm:pt modelId="{4B9FFA04-C15D-4BB3-B835-FB2DE51F644C}" type="pres">
      <dgm:prSet presAssocID="{B896F47B-E82C-4740-AC39-2CAB723DC905}" presName="FiveNodes_5_text" presStyleLbl="node1" presStyleIdx="4" presStyleCnt="5">
        <dgm:presLayoutVars>
          <dgm:bulletEnabled val="1"/>
        </dgm:presLayoutVars>
      </dgm:prSet>
      <dgm:spPr/>
      <dgm:t>
        <a:bodyPr/>
        <a:lstStyle/>
        <a:p>
          <a:endParaRPr lang="en-GB"/>
        </a:p>
      </dgm:t>
    </dgm:pt>
  </dgm:ptLst>
  <dgm:cxnLst>
    <dgm:cxn modelId="{6F0DAB11-4C4C-4B58-8848-353D6DFF8784}" type="presOf" srcId="{48CEB195-4A36-4903-896F-934E8A30C671}" destId="{CF2F489B-D228-452E-AF1B-14EAEC84D9F6}" srcOrd="0" destOrd="0" presId="urn:microsoft.com/office/officeart/2005/8/layout/vProcess5"/>
    <dgm:cxn modelId="{6D45E0E3-F45E-4A72-81DC-7F25787D3381}" srcId="{B896F47B-E82C-4740-AC39-2CAB723DC905}" destId="{C140A4F1-2DDB-48E6-BA17-1546F61C2D96}" srcOrd="0" destOrd="0" parTransId="{AF3FF36F-508E-4C0E-9EBC-A98040DE9CCB}" sibTransId="{1B869721-FE79-49F9-BA04-F3F441CFA2D7}"/>
    <dgm:cxn modelId="{4CCE2520-2F17-443D-84F9-384B156D4D7A}" type="presOf" srcId="{19AB8826-1A75-4385-94B3-5D49D6C3F17F}" destId="{320D9B35-9EF5-495C-A211-F7AC59470BA2}" srcOrd="1" destOrd="0" presId="urn:microsoft.com/office/officeart/2005/8/layout/vProcess5"/>
    <dgm:cxn modelId="{178C9387-277C-4725-8AB2-FE4165FEF28F}" srcId="{B896F47B-E82C-4740-AC39-2CAB723DC905}" destId="{0BDD7C15-FA38-4EBC-888D-96D029CE977F}" srcOrd="5" destOrd="0" parTransId="{EE6A4F3E-12E1-418B-BBE0-6CB998FDEF83}" sibTransId="{65F34B18-5EC9-4699-A289-2AEF06439F88}"/>
    <dgm:cxn modelId="{4EFAC56B-93E8-4EA2-BC97-7911538D0AC4}" type="presOf" srcId="{339449D4-D1AA-4203-9BD4-955007B45CF6}" destId="{F044CA19-7905-4252-A875-8EA948385D44}" srcOrd="0" destOrd="0" presId="urn:microsoft.com/office/officeart/2005/8/layout/vProcess5"/>
    <dgm:cxn modelId="{117D9C54-D9DA-41C9-826C-E1658BC24735}" srcId="{B896F47B-E82C-4740-AC39-2CAB723DC905}" destId="{F5F18BB4-A3EB-4CFF-B470-B040FF04576F}" srcOrd="2" destOrd="0" parTransId="{4F5532BC-8A32-45A9-BD2F-4B254C55D2A5}" sibTransId="{EDA28774-5C1E-4F79-9334-19C4205A5970}"/>
    <dgm:cxn modelId="{E4DF911A-2755-4F62-B8C4-B712FDDEE0F2}" type="presOf" srcId="{1B869721-FE79-49F9-BA04-F3F441CFA2D7}" destId="{5C430FE4-CF7B-4854-8156-D2219E46E42D}" srcOrd="0" destOrd="0" presId="urn:microsoft.com/office/officeart/2005/8/layout/vProcess5"/>
    <dgm:cxn modelId="{7B15B299-B874-49B2-93C5-A0C8736B184A}" type="presOf" srcId="{F5F18BB4-A3EB-4CFF-B470-B040FF04576F}" destId="{5C20C426-9A84-4189-821C-77F1C405900C}" srcOrd="0" destOrd="0" presId="urn:microsoft.com/office/officeart/2005/8/layout/vProcess5"/>
    <dgm:cxn modelId="{0D86C972-71BB-4C33-AAE6-2C3C068338E8}" type="presOf" srcId="{D9211B7F-CC2E-4655-8A6B-B73748EAEE50}" destId="{4BAA2399-1340-4E97-BD83-1F58969F9EE2}" srcOrd="0" destOrd="0" presId="urn:microsoft.com/office/officeart/2005/8/layout/vProcess5"/>
    <dgm:cxn modelId="{4161E254-68DF-4089-B08A-99E11A79E9B4}" type="presOf" srcId="{EDA28774-5C1E-4F79-9334-19C4205A5970}" destId="{2FC94F44-6FC4-46E8-A9D4-493975434BF2}" srcOrd="0" destOrd="0" presId="urn:microsoft.com/office/officeart/2005/8/layout/vProcess5"/>
    <dgm:cxn modelId="{F567CB79-7ACB-4233-99D9-D6836C85EB0F}" type="presOf" srcId="{C140A4F1-2DDB-48E6-BA17-1546F61C2D96}" destId="{3CF18C1D-F072-465B-BD45-2439DB630BB4}" srcOrd="1" destOrd="0" presId="urn:microsoft.com/office/officeart/2005/8/layout/vProcess5"/>
    <dgm:cxn modelId="{37E801AF-5E3D-4FF3-900A-6416A1360653}" type="presOf" srcId="{C140A4F1-2DDB-48E6-BA17-1546F61C2D96}" destId="{23A2DC7D-EFE6-48BC-808B-EA8CE4680E87}" srcOrd="0" destOrd="0" presId="urn:microsoft.com/office/officeart/2005/8/layout/vProcess5"/>
    <dgm:cxn modelId="{947EFC28-D706-49CF-8617-93CC6679DAFC}" type="presOf" srcId="{48CEB195-4A36-4903-896F-934E8A30C671}" destId="{097C464B-B592-4A1C-A4CF-4AE4C68AA0A2}" srcOrd="1" destOrd="0" presId="urn:microsoft.com/office/officeart/2005/8/layout/vProcess5"/>
    <dgm:cxn modelId="{6C3DC122-B0EE-43B8-B4F0-2A2724D88FC8}" type="presOf" srcId="{C82C9FD6-E65C-4DBC-B819-6D800CF1DE26}" destId="{B572B758-5CCE-4570-A581-DC9FCF0BFD4B}" srcOrd="0" destOrd="0" presId="urn:microsoft.com/office/officeart/2005/8/layout/vProcess5"/>
    <dgm:cxn modelId="{82F0387F-D42B-489B-A369-EBEF1CCCAD40}" type="presOf" srcId="{19AB8826-1A75-4385-94B3-5D49D6C3F17F}" destId="{B5D901EA-5C36-41E3-A3B8-655920B9907F}" srcOrd="0" destOrd="0" presId="urn:microsoft.com/office/officeart/2005/8/layout/vProcess5"/>
    <dgm:cxn modelId="{43A54E60-E02F-4AE1-BD2A-74FB9BA4C53F}" type="presOf" srcId="{F5F18BB4-A3EB-4CFF-B470-B040FF04576F}" destId="{0642E5BC-6714-4D40-8EBA-9FEFF52A2EDF}" srcOrd="1" destOrd="0" presId="urn:microsoft.com/office/officeart/2005/8/layout/vProcess5"/>
    <dgm:cxn modelId="{0514398B-FBD1-44AA-8A16-9097DCA988F0}" srcId="{B896F47B-E82C-4740-AC39-2CAB723DC905}" destId="{19AB8826-1A75-4385-94B3-5D49D6C3F17F}" srcOrd="1" destOrd="0" parTransId="{511376C9-0ABB-454D-AAFB-8D41A4C07137}" sibTransId="{C82C9FD6-E65C-4DBC-B819-6D800CF1DE26}"/>
    <dgm:cxn modelId="{2DB0FEEF-E87C-410C-B505-58318E3FA2B5}" srcId="{B896F47B-E82C-4740-AC39-2CAB723DC905}" destId="{48CEB195-4A36-4903-896F-934E8A30C671}" srcOrd="3" destOrd="0" parTransId="{931F17DA-F8CC-41BB-A296-C31ED3F6D3EB}" sibTransId="{D9211B7F-CC2E-4655-8A6B-B73748EAEE50}"/>
    <dgm:cxn modelId="{DAD9B23E-A414-4BBC-B85E-0B5FE1284B26}" type="presOf" srcId="{B896F47B-E82C-4740-AC39-2CAB723DC905}" destId="{0DB0E492-694C-4FFD-AFAA-ABC922D369A3}" srcOrd="0" destOrd="0" presId="urn:microsoft.com/office/officeart/2005/8/layout/vProcess5"/>
    <dgm:cxn modelId="{BD711089-B52A-4BFC-B467-838D5330C11C}" type="presOf" srcId="{339449D4-D1AA-4203-9BD4-955007B45CF6}" destId="{4B9FFA04-C15D-4BB3-B835-FB2DE51F644C}" srcOrd="1" destOrd="0" presId="urn:microsoft.com/office/officeart/2005/8/layout/vProcess5"/>
    <dgm:cxn modelId="{217BD138-A43A-4E54-83BD-C1CD2DA55F2D}" srcId="{B896F47B-E82C-4740-AC39-2CAB723DC905}" destId="{339449D4-D1AA-4203-9BD4-955007B45CF6}" srcOrd="4" destOrd="0" parTransId="{8A5B7578-57B8-471F-8CF4-836AA3C0CA84}" sibTransId="{133F3544-4CC9-430E-9345-6EEDD9273D03}"/>
    <dgm:cxn modelId="{2E53B143-BED9-42A4-B5E9-5A67D8301D54}" type="presParOf" srcId="{0DB0E492-694C-4FFD-AFAA-ABC922D369A3}" destId="{73F11A60-27FC-4109-A2C1-0DBBA08FCB9F}" srcOrd="0" destOrd="0" presId="urn:microsoft.com/office/officeart/2005/8/layout/vProcess5"/>
    <dgm:cxn modelId="{282BBB18-5F31-4828-BE97-96D89F3F08F3}" type="presParOf" srcId="{0DB0E492-694C-4FFD-AFAA-ABC922D369A3}" destId="{23A2DC7D-EFE6-48BC-808B-EA8CE4680E87}" srcOrd="1" destOrd="0" presId="urn:microsoft.com/office/officeart/2005/8/layout/vProcess5"/>
    <dgm:cxn modelId="{A2D2BF9E-2E1D-4F15-982E-EE5C34E1EB38}" type="presParOf" srcId="{0DB0E492-694C-4FFD-AFAA-ABC922D369A3}" destId="{B5D901EA-5C36-41E3-A3B8-655920B9907F}" srcOrd="2" destOrd="0" presId="urn:microsoft.com/office/officeart/2005/8/layout/vProcess5"/>
    <dgm:cxn modelId="{FEBA15E9-E732-4980-BB01-599A633777AC}" type="presParOf" srcId="{0DB0E492-694C-4FFD-AFAA-ABC922D369A3}" destId="{5C20C426-9A84-4189-821C-77F1C405900C}" srcOrd="3" destOrd="0" presId="urn:microsoft.com/office/officeart/2005/8/layout/vProcess5"/>
    <dgm:cxn modelId="{5EA487A2-3ABD-47F6-9D1A-740370808EBA}" type="presParOf" srcId="{0DB0E492-694C-4FFD-AFAA-ABC922D369A3}" destId="{CF2F489B-D228-452E-AF1B-14EAEC84D9F6}" srcOrd="4" destOrd="0" presId="urn:microsoft.com/office/officeart/2005/8/layout/vProcess5"/>
    <dgm:cxn modelId="{55638718-80D3-4181-9B7C-69BFF8254B93}" type="presParOf" srcId="{0DB0E492-694C-4FFD-AFAA-ABC922D369A3}" destId="{F044CA19-7905-4252-A875-8EA948385D44}" srcOrd="5" destOrd="0" presId="urn:microsoft.com/office/officeart/2005/8/layout/vProcess5"/>
    <dgm:cxn modelId="{99C72929-F4EE-4954-A5FB-85613652F6DE}" type="presParOf" srcId="{0DB0E492-694C-4FFD-AFAA-ABC922D369A3}" destId="{5C430FE4-CF7B-4854-8156-D2219E46E42D}" srcOrd="6" destOrd="0" presId="urn:microsoft.com/office/officeart/2005/8/layout/vProcess5"/>
    <dgm:cxn modelId="{141C954F-692F-42EB-8FA8-6AD685D1B767}" type="presParOf" srcId="{0DB0E492-694C-4FFD-AFAA-ABC922D369A3}" destId="{B572B758-5CCE-4570-A581-DC9FCF0BFD4B}" srcOrd="7" destOrd="0" presId="urn:microsoft.com/office/officeart/2005/8/layout/vProcess5"/>
    <dgm:cxn modelId="{D3D19B6C-3543-4E06-8AC9-6C118409B227}" type="presParOf" srcId="{0DB0E492-694C-4FFD-AFAA-ABC922D369A3}" destId="{2FC94F44-6FC4-46E8-A9D4-493975434BF2}" srcOrd="8" destOrd="0" presId="urn:microsoft.com/office/officeart/2005/8/layout/vProcess5"/>
    <dgm:cxn modelId="{AC2A7D75-CCAE-4789-9C56-0E123D877EB7}" type="presParOf" srcId="{0DB0E492-694C-4FFD-AFAA-ABC922D369A3}" destId="{4BAA2399-1340-4E97-BD83-1F58969F9EE2}" srcOrd="9" destOrd="0" presId="urn:microsoft.com/office/officeart/2005/8/layout/vProcess5"/>
    <dgm:cxn modelId="{964275E1-7AC0-46AF-B847-18FAB250E9DC}" type="presParOf" srcId="{0DB0E492-694C-4FFD-AFAA-ABC922D369A3}" destId="{3CF18C1D-F072-465B-BD45-2439DB630BB4}" srcOrd="10" destOrd="0" presId="urn:microsoft.com/office/officeart/2005/8/layout/vProcess5"/>
    <dgm:cxn modelId="{2E3537C2-3FE4-442B-985D-25AF38140963}" type="presParOf" srcId="{0DB0E492-694C-4FFD-AFAA-ABC922D369A3}" destId="{320D9B35-9EF5-495C-A211-F7AC59470BA2}" srcOrd="11" destOrd="0" presId="urn:microsoft.com/office/officeart/2005/8/layout/vProcess5"/>
    <dgm:cxn modelId="{D03E483B-0F47-404B-AD10-D283F7C1F9C2}" type="presParOf" srcId="{0DB0E492-694C-4FFD-AFAA-ABC922D369A3}" destId="{0642E5BC-6714-4D40-8EBA-9FEFF52A2EDF}" srcOrd="12" destOrd="0" presId="urn:microsoft.com/office/officeart/2005/8/layout/vProcess5"/>
    <dgm:cxn modelId="{F2FF012E-6E04-42EE-8A84-4FF9E66B8B90}" type="presParOf" srcId="{0DB0E492-694C-4FFD-AFAA-ABC922D369A3}" destId="{097C464B-B592-4A1C-A4CF-4AE4C68AA0A2}" srcOrd="13" destOrd="0" presId="urn:microsoft.com/office/officeart/2005/8/layout/vProcess5"/>
    <dgm:cxn modelId="{8388C831-5BD8-4737-AE0F-775B2A2396EF}" type="presParOf" srcId="{0DB0E492-694C-4FFD-AFAA-ABC922D369A3}" destId="{4B9FFA04-C15D-4BB3-B835-FB2DE51F644C}" srcOrd="14" destOrd="0" presId="urn:microsoft.com/office/officeart/2005/8/layout/vProcess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1C1D5F2-2241-40C4-ABD4-232122D5D0CB}" type="doc">
      <dgm:prSet loTypeId="urn:microsoft.com/office/officeart/2005/8/layout/matrix1" loCatId="matrix" qsTypeId="urn:microsoft.com/office/officeart/2005/8/quickstyle/simple1" qsCatId="simple" csTypeId="urn:microsoft.com/office/officeart/2005/8/colors/accent1_5" csCatId="accent1" phldr="1"/>
      <dgm:spPr/>
      <dgm:t>
        <a:bodyPr/>
        <a:lstStyle/>
        <a:p>
          <a:endParaRPr lang="en-GB"/>
        </a:p>
      </dgm:t>
    </dgm:pt>
    <dgm:pt modelId="{AA3D6434-FFA4-4114-9858-D9A524924E37}">
      <dgm:prSet phldrT="[Text]"/>
      <dgm:spPr/>
      <dgm:t>
        <a:bodyPr/>
        <a:lstStyle/>
        <a:p>
          <a:r>
            <a:rPr lang="en-GB"/>
            <a:t>Reports to ICO </a:t>
          </a:r>
        </a:p>
      </dgm:t>
    </dgm:pt>
    <dgm:pt modelId="{E0B88919-4EE2-4CD1-8CB7-FACAF85E157D}" type="parTrans" cxnId="{B7AF7E74-281C-4B08-BAB7-8485AF7109B4}">
      <dgm:prSet/>
      <dgm:spPr/>
      <dgm:t>
        <a:bodyPr/>
        <a:lstStyle/>
        <a:p>
          <a:endParaRPr lang="en-GB"/>
        </a:p>
      </dgm:t>
    </dgm:pt>
    <dgm:pt modelId="{0567F8BD-204D-42E4-A970-8A631EEA583F}" type="sibTrans" cxnId="{B7AF7E74-281C-4B08-BAB7-8485AF7109B4}">
      <dgm:prSet/>
      <dgm:spPr/>
      <dgm:t>
        <a:bodyPr/>
        <a:lstStyle/>
        <a:p>
          <a:endParaRPr lang="en-GB"/>
        </a:p>
      </dgm:t>
    </dgm:pt>
    <dgm:pt modelId="{8EA7F630-0D13-4517-98EF-2CE4129675A2}">
      <dgm:prSet phldrT="[Text]"/>
      <dgm:spPr/>
      <dgm:t>
        <a:bodyPr/>
        <a:lstStyle/>
        <a:p>
          <a:r>
            <a:rPr lang="en-GB"/>
            <a:t>Describe the breach, identifying the category and numbers affected.</a:t>
          </a:r>
        </a:p>
      </dgm:t>
    </dgm:pt>
    <dgm:pt modelId="{95AF0750-E0F7-4D4A-9794-31D702B84D5C}" type="parTrans" cxnId="{03938096-4D17-4866-81ED-28951F279163}">
      <dgm:prSet/>
      <dgm:spPr/>
      <dgm:t>
        <a:bodyPr/>
        <a:lstStyle/>
        <a:p>
          <a:endParaRPr lang="en-GB"/>
        </a:p>
      </dgm:t>
    </dgm:pt>
    <dgm:pt modelId="{62F442A0-291F-441F-966A-8E582685D6BB}" type="sibTrans" cxnId="{03938096-4D17-4866-81ED-28951F279163}">
      <dgm:prSet/>
      <dgm:spPr/>
      <dgm:t>
        <a:bodyPr/>
        <a:lstStyle/>
        <a:p>
          <a:endParaRPr lang="en-GB"/>
        </a:p>
      </dgm:t>
    </dgm:pt>
    <dgm:pt modelId="{8D00F583-2193-498A-B0DF-1AD72D9AE6D2}">
      <dgm:prSet phldrT="[Text]"/>
      <dgm:spPr/>
      <dgm:t>
        <a:bodyPr/>
        <a:lstStyle/>
        <a:p>
          <a:r>
            <a:rPr lang="en-GB"/>
            <a:t>Likely consequences</a:t>
          </a:r>
        </a:p>
      </dgm:t>
    </dgm:pt>
    <dgm:pt modelId="{EB1F4B00-4FC7-42A9-B177-59820414D5FD}" type="parTrans" cxnId="{010506DB-B42F-4BFA-94C4-B7832BC6F82B}">
      <dgm:prSet/>
      <dgm:spPr/>
      <dgm:t>
        <a:bodyPr/>
        <a:lstStyle/>
        <a:p>
          <a:endParaRPr lang="en-GB"/>
        </a:p>
      </dgm:t>
    </dgm:pt>
    <dgm:pt modelId="{FEF588AD-342F-4E42-B80D-9F7EDDD6F2DA}" type="sibTrans" cxnId="{010506DB-B42F-4BFA-94C4-B7832BC6F82B}">
      <dgm:prSet/>
      <dgm:spPr/>
      <dgm:t>
        <a:bodyPr/>
        <a:lstStyle/>
        <a:p>
          <a:endParaRPr lang="en-GB"/>
        </a:p>
      </dgm:t>
    </dgm:pt>
    <dgm:pt modelId="{E93FCA47-D2B3-467A-9202-30B80203648A}">
      <dgm:prSet phldrT="[Text]"/>
      <dgm:spPr/>
      <dgm:t>
        <a:bodyPr/>
        <a:lstStyle/>
        <a:p>
          <a:r>
            <a:rPr lang="en-GB"/>
            <a:t>Mitigating actions </a:t>
          </a:r>
        </a:p>
      </dgm:t>
    </dgm:pt>
    <dgm:pt modelId="{B6BD605C-6A2C-4AE0-9AE8-EECD0BF8A2F3}" type="parTrans" cxnId="{0E91210F-7E5E-4593-AB68-44E6B7253DFB}">
      <dgm:prSet/>
      <dgm:spPr/>
      <dgm:t>
        <a:bodyPr/>
        <a:lstStyle/>
        <a:p>
          <a:endParaRPr lang="en-GB"/>
        </a:p>
      </dgm:t>
    </dgm:pt>
    <dgm:pt modelId="{5AB4DC36-39F8-4DF5-848C-34B622EB9D14}" type="sibTrans" cxnId="{0E91210F-7E5E-4593-AB68-44E6B7253DFB}">
      <dgm:prSet/>
      <dgm:spPr/>
      <dgm:t>
        <a:bodyPr/>
        <a:lstStyle/>
        <a:p>
          <a:endParaRPr lang="en-GB"/>
        </a:p>
      </dgm:t>
    </dgm:pt>
    <dgm:pt modelId="{817D9941-BE26-4F7A-B75C-458BFB080809}">
      <dgm:prSet phldrT="[Text]" phldr="1"/>
      <dgm:spPr/>
      <dgm:t>
        <a:bodyPr/>
        <a:lstStyle/>
        <a:p>
          <a:endParaRPr lang="en-GB"/>
        </a:p>
      </dgm:t>
    </dgm:pt>
    <dgm:pt modelId="{BBC01EED-96D8-4AAB-8802-AA7D4F828C92}" type="parTrans" cxnId="{3DB8C9E4-D22A-4BB0-887C-1F0E1E7F1DC5}">
      <dgm:prSet/>
      <dgm:spPr/>
      <dgm:t>
        <a:bodyPr/>
        <a:lstStyle/>
        <a:p>
          <a:endParaRPr lang="en-GB"/>
        </a:p>
      </dgm:t>
    </dgm:pt>
    <dgm:pt modelId="{74DEFA04-D87F-41DC-BBE5-857D1E5EC861}" type="sibTrans" cxnId="{3DB8C9E4-D22A-4BB0-887C-1F0E1E7F1DC5}">
      <dgm:prSet/>
      <dgm:spPr/>
      <dgm:t>
        <a:bodyPr/>
        <a:lstStyle/>
        <a:p>
          <a:endParaRPr lang="en-GB"/>
        </a:p>
      </dgm:t>
    </dgm:pt>
    <dgm:pt modelId="{458E71E5-ECB2-4D96-A049-9FF45D9F6DA9}">
      <dgm:prSet/>
      <dgm:spPr/>
      <dgm:t>
        <a:bodyPr/>
        <a:lstStyle/>
        <a:p>
          <a:r>
            <a:rPr lang="en-GB"/>
            <a:t>DPO contact details</a:t>
          </a:r>
        </a:p>
      </dgm:t>
    </dgm:pt>
    <dgm:pt modelId="{C89CBA22-B6E1-4570-B211-0A84BFF5437D}" type="parTrans" cxnId="{87B62432-F9C4-481C-B51F-A009D76B9B89}">
      <dgm:prSet/>
      <dgm:spPr/>
      <dgm:t>
        <a:bodyPr/>
        <a:lstStyle/>
        <a:p>
          <a:endParaRPr lang="en-GB"/>
        </a:p>
      </dgm:t>
    </dgm:pt>
    <dgm:pt modelId="{4E49D847-26F4-426D-BF30-6E4B39EC10C0}" type="sibTrans" cxnId="{87B62432-F9C4-481C-B51F-A009D76B9B89}">
      <dgm:prSet/>
      <dgm:spPr/>
      <dgm:t>
        <a:bodyPr/>
        <a:lstStyle/>
        <a:p>
          <a:endParaRPr lang="en-GB"/>
        </a:p>
      </dgm:t>
    </dgm:pt>
    <dgm:pt modelId="{15A2879F-41CD-485A-A43D-0467534E6D99}" type="pres">
      <dgm:prSet presAssocID="{91C1D5F2-2241-40C4-ABD4-232122D5D0CB}" presName="diagram" presStyleCnt="0">
        <dgm:presLayoutVars>
          <dgm:chMax val="1"/>
          <dgm:dir/>
          <dgm:animLvl val="ctr"/>
          <dgm:resizeHandles val="exact"/>
        </dgm:presLayoutVars>
      </dgm:prSet>
      <dgm:spPr/>
      <dgm:t>
        <a:bodyPr/>
        <a:lstStyle/>
        <a:p>
          <a:endParaRPr lang="en-GB"/>
        </a:p>
      </dgm:t>
    </dgm:pt>
    <dgm:pt modelId="{740D8686-3060-468F-AA13-136E8676507D}" type="pres">
      <dgm:prSet presAssocID="{91C1D5F2-2241-40C4-ABD4-232122D5D0CB}" presName="matrix" presStyleCnt="0"/>
      <dgm:spPr/>
    </dgm:pt>
    <dgm:pt modelId="{7686F7F7-19C0-4FC0-8D08-230EDEF4A65B}" type="pres">
      <dgm:prSet presAssocID="{91C1D5F2-2241-40C4-ABD4-232122D5D0CB}" presName="tile1" presStyleLbl="node1" presStyleIdx="0" presStyleCnt="4" custLinFactNeighborX="-4214" custLinFactNeighborY="-5634"/>
      <dgm:spPr/>
      <dgm:t>
        <a:bodyPr/>
        <a:lstStyle/>
        <a:p>
          <a:endParaRPr lang="en-GB"/>
        </a:p>
      </dgm:t>
    </dgm:pt>
    <dgm:pt modelId="{2E4A4358-0606-4B8F-8A35-0173E4057732}" type="pres">
      <dgm:prSet presAssocID="{91C1D5F2-2241-40C4-ABD4-232122D5D0CB}" presName="tile1text" presStyleLbl="node1" presStyleIdx="0" presStyleCnt="4">
        <dgm:presLayoutVars>
          <dgm:chMax val="0"/>
          <dgm:chPref val="0"/>
          <dgm:bulletEnabled val="1"/>
        </dgm:presLayoutVars>
      </dgm:prSet>
      <dgm:spPr/>
      <dgm:t>
        <a:bodyPr/>
        <a:lstStyle/>
        <a:p>
          <a:endParaRPr lang="en-GB"/>
        </a:p>
      </dgm:t>
    </dgm:pt>
    <dgm:pt modelId="{D2431376-1A08-494C-B9BD-9BD7FC125E7B}" type="pres">
      <dgm:prSet presAssocID="{91C1D5F2-2241-40C4-ABD4-232122D5D0CB}" presName="tile2" presStyleLbl="node1" presStyleIdx="1" presStyleCnt="4"/>
      <dgm:spPr/>
      <dgm:t>
        <a:bodyPr/>
        <a:lstStyle/>
        <a:p>
          <a:endParaRPr lang="en-GB"/>
        </a:p>
      </dgm:t>
    </dgm:pt>
    <dgm:pt modelId="{8DA54546-2573-46BC-B969-C60EC34FD22A}" type="pres">
      <dgm:prSet presAssocID="{91C1D5F2-2241-40C4-ABD4-232122D5D0CB}" presName="tile2text" presStyleLbl="node1" presStyleIdx="1" presStyleCnt="4">
        <dgm:presLayoutVars>
          <dgm:chMax val="0"/>
          <dgm:chPref val="0"/>
          <dgm:bulletEnabled val="1"/>
        </dgm:presLayoutVars>
      </dgm:prSet>
      <dgm:spPr/>
      <dgm:t>
        <a:bodyPr/>
        <a:lstStyle/>
        <a:p>
          <a:endParaRPr lang="en-GB"/>
        </a:p>
      </dgm:t>
    </dgm:pt>
    <dgm:pt modelId="{7092A0B6-80A6-441C-8A7E-D73B3E6A5DA8}" type="pres">
      <dgm:prSet presAssocID="{91C1D5F2-2241-40C4-ABD4-232122D5D0CB}" presName="tile3" presStyleLbl="node1" presStyleIdx="2" presStyleCnt="4"/>
      <dgm:spPr/>
      <dgm:t>
        <a:bodyPr/>
        <a:lstStyle/>
        <a:p>
          <a:endParaRPr lang="en-GB"/>
        </a:p>
      </dgm:t>
    </dgm:pt>
    <dgm:pt modelId="{40FBABCA-5C12-49E9-B669-9742C8A18E3F}" type="pres">
      <dgm:prSet presAssocID="{91C1D5F2-2241-40C4-ABD4-232122D5D0CB}" presName="tile3text" presStyleLbl="node1" presStyleIdx="2" presStyleCnt="4">
        <dgm:presLayoutVars>
          <dgm:chMax val="0"/>
          <dgm:chPref val="0"/>
          <dgm:bulletEnabled val="1"/>
        </dgm:presLayoutVars>
      </dgm:prSet>
      <dgm:spPr/>
      <dgm:t>
        <a:bodyPr/>
        <a:lstStyle/>
        <a:p>
          <a:endParaRPr lang="en-GB"/>
        </a:p>
      </dgm:t>
    </dgm:pt>
    <dgm:pt modelId="{855BFDE8-8BAA-47C0-B818-27F5DD3482A8}" type="pres">
      <dgm:prSet presAssocID="{91C1D5F2-2241-40C4-ABD4-232122D5D0CB}" presName="tile4" presStyleLbl="node1" presStyleIdx="3" presStyleCnt="4"/>
      <dgm:spPr/>
      <dgm:t>
        <a:bodyPr/>
        <a:lstStyle/>
        <a:p>
          <a:endParaRPr lang="en-GB"/>
        </a:p>
      </dgm:t>
    </dgm:pt>
    <dgm:pt modelId="{DC990DD0-F210-4E33-87B6-648CE9E336A8}" type="pres">
      <dgm:prSet presAssocID="{91C1D5F2-2241-40C4-ABD4-232122D5D0CB}" presName="tile4text" presStyleLbl="node1" presStyleIdx="3" presStyleCnt="4">
        <dgm:presLayoutVars>
          <dgm:chMax val="0"/>
          <dgm:chPref val="0"/>
          <dgm:bulletEnabled val="1"/>
        </dgm:presLayoutVars>
      </dgm:prSet>
      <dgm:spPr/>
      <dgm:t>
        <a:bodyPr/>
        <a:lstStyle/>
        <a:p>
          <a:endParaRPr lang="en-GB"/>
        </a:p>
      </dgm:t>
    </dgm:pt>
    <dgm:pt modelId="{59A2D808-E117-4F71-86F2-A4F3A3CA46F4}" type="pres">
      <dgm:prSet presAssocID="{91C1D5F2-2241-40C4-ABD4-232122D5D0CB}" presName="centerTile" presStyleLbl="fgShp" presStyleIdx="0" presStyleCnt="1">
        <dgm:presLayoutVars>
          <dgm:chMax val="0"/>
          <dgm:chPref val="0"/>
        </dgm:presLayoutVars>
      </dgm:prSet>
      <dgm:spPr/>
      <dgm:t>
        <a:bodyPr/>
        <a:lstStyle/>
        <a:p>
          <a:endParaRPr lang="en-GB"/>
        </a:p>
      </dgm:t>
    </dgm:pt>
  </dgm:ptLst>
  <dgm:cxnLst>
    <dgm:cxn modelId="{010506DB-B42F-4BFA-94C4-B7832BC6F82B}" srcId="{AA3D6434-FFA4-4114-9858-D9A524924E37}" destId="{8D00F583-2193-498A-B0DF-1AD72D9AE6D2}" srcOrd="1" destOrd="0" parTransId="{EB1F4B00-4FC7-42A9-B177-59820414D5FD}" sibTransId="{FEF588AD-342F-4E42-B80D-9F7EDDD6F2DA}"/>
    <dgm:cxn modelId="{D7B1260B-20E3-46BB-9D18-686D93E69ED8}" type="presOf" srcId="{E93FCA47-D2B3-467A-9202-30B80203648A}" destId="{855BFDE8-8BAA-47C0-B818-27F5DD3482A8}" srcOrd="0" destOrd="0" presId="urn:microsoft.com/office/officeart/2005/8/layout/matrix1"/>
    <dgm:cxn modelId="{4F583394-A3D8-4217-85A0-7E0038CD0F2E}" type="presOf" srcId="{E93FCA47-D2B3-467A-9202-30B80203648A}" destId="{DC990DD0-F210-4E33-87B6-648CE9E336A8}" srcOrd="1" destOrd="0" presId="urn:microsoft.com/office/officeart/2005/8/layout/matrix1"/>
    <dgm:cxn modelId="{1AA62E93-77BC-4C4A-B793-DF73AC9B9F32}" type="presOf" srcId="{8D00F583-2193-498A-B0DF-1AD72D9AE6D2}" destId="{D2431376-1A08-494C-B9BD-9BD7FC125E7B}" srcOrd="0" destOrd="0" presId="urn:microsoft.com/office/officeart/2005/8/layout/matrix1"/>
    <dgm:cxn modelId="{87B62432-F9C4-481C-B51F-A009D76B9B89}" srcId="{AA3D6434-FFA4-4114-9858-D9A524924E37}" destId="{458E71E5-ECB2-4D96-A049-9FF45D9F6DA9}" srcOrd="2" destOrd="0" parTransId="{C89CBA22-B6E1-4570-B211-0A84BFF5437D}" sibTransId="{4E49D847-26F4-426D-BF30-6E4B39EC10C0}"/>
    <dgm:cxn modelId="{B7AF7E74-281C-4B08-BAB7-8485AF7109B4}" srcId="{91C1D5F2-2241-40C4-ABD4-232122D5D0CB}" destId="{AA3D6434-FFA4-4114-9858-D9A524924E37}" srcOrd="0" destOrd="0" parTransId="{E0B88919-4EE2-4CD1-8CB7-FACAF85E157D}" sibTransId="{0567F8BD-204D-42E4-A970-8A631EEA583F}"/>
    <dgm:cxn modelId="{B28C9219-320E-433E-BD24-BC5B9BA98D4C}" type="presOf" srcId="{8D00F583-2193-498A-B0DF-1AD72D9AE6D2}" destId="{8DA54546-2573-46BC-B969-C60EC34FD22A}" srcOrd="1" destOrd="0" presId="urn:microsoft.com/office/officeart/2005/8/layout/matrix1"/>
    <dgm:cxn modelId="{3DB8C9E4-D22A-4BB0-887C-1F0E1E7F1DC5}" srcId="{AA3D6434-FFA4-4114-9858-D9A524924E37}" destId="{817D9941-BE26-4F7A-B75C-458BFB080809}" srcOrd="4" destOrd="0" parTransId="{BBC01EED-96D8-4AAB-8802-AA7D4F828C92}" sibTransId="{74DEFA04-D87F-41DC-BBE5-857D1E5EC861}"/>
    <dgm:cxn modelId="{D556B2D4-4934-4374-BEC6-3BDDD9297126}" type="presOf" srcId="{458E71E5-ECB2-4D96-A049-9FF45D9F6DA9}" destId="{40FBABCA-5C12-49E9-B669-9742C8A18E3F}" srcOrd="1" destOrd="0" presId="urn:microsoft.com/office/officeart/2005/8/layout/matrix1"/>
    <dgm:cxn modelId="{03938096-4D17-4866-81ED-28951F279163}" srcId="{AA3D6434-FFA4-4114-9858-D9A524924E37}" destId="{8EA7F630-0D13-4517-98EF-2CE4129675A2}" srcOrd="0" destOrd="0" parTransId="{95AF0750-E0F7-4D4A-9794-31D702B84D5C}" sibTransId="{62F442A0-291F-441F-966A-8E582685D6BB}"/>
    <dgm:cxn modelId="{D57C37AA-7D42-47A6-B27F-AA52D39CC851}" type="presOf" srcId="{8EA7F630-0D13-4517-98EF-2CE4129675A2}" destId="{7686F7F7-19C0-4FC0-8D08-230EDEF4A65B}" srcOrd="0" destOrd="0" presId="urn:microsoft.com/office/officeart/2005/8/layout/matrix1"/>
    <dgm:cxn modelId="{0E91210F-7E5E-4593-AB68-44E6B7253DFB}" srcId="{AA3D6434-FFA4-4114-9858-D9A524924E37}" destId="{E93FCA47-D2B3-467A-9202-30B80203648A}" srcOrd="3" destOrd="0" parTransId="{B6BD605C-6A2C-4AE0-9AE8-EECD0BF8A2F3}" sibTransId="{5AB4DC36-39F8-4DF5-848C-34B622EB9D14}"/>
    <dgm:cxn modelId="{AF2D8CCD-E7D0-4139-BAE6-4B41E0BC740B}" type="presOf" srcId="{91C1D5F2-2241-40C4-ABD4-232122D5D0CB}" destId="{15A2879F-41CD-485A-A43D-0467534E6D99}" srcOrd="0" destOrd="0" presId="urn:microsoft.com/office/officeart/2005/8/layout/matrix1"/>
    <dgm:cxn modelId="{9692A45C-5F24-42B1-900A-11BEF2216219}" type="presOf" srcId="{AA3D6434-FFA4-4114-9858-D9A524924E37}" destId="{59A2D808-E117-4F71-86F2-A4F3A3CA46F4}" srcOrd="0" destOrd="0" presId="urn:microsoft.com/office/officeart/2005/8/layout/matrix1"/>
    <dgm:cxn modelId="{05761BCF-5390-4613-93EB-32ABE4203708}" type="presOf" srcId="{458E71E5-ECB2-4D96-A049-9FF45D9F6DA9}" destId="{7092A0B6-80A6-441C-8A7E-D73B3E6A5DA8}" srcOrd="0" destOrd="0" presId="urn:microsoft.com/office/officeart/2005/8/layout/matrix1"/>
    <dgm:cxn modelId="{0275712A-A28D-4794-8528-A382750106A0}" type="presOf" srcId="{8EA7F630-0D13-4517-98EF-2CE4129675A2}" destId="{2E4A4358-0606-4B8F-8A35-0173E4057732}" srcOrd="1" destOrd="0" presId="urn:microsoft.com/office/officeart/2005/8/layout/matrix1"/>
    <dgm:cxn modelId="{A3FC83CD-60C4-40FD-947F-500B4A53611C}" type="presParOf" srcId="{15A2879F-41CD-485A-A43D-0467534E6D99}" destId="{740D8686-3060-468F-AA13-136E8676507D}" srcOrd="0" destOrd="0" presId="urn:microsoft.com/office/officeart/2005/8/layout/matrix1"/>
    <dgm:cxn modelId="{2D022451-F8D6-4D53-A0F3-6B972013EAF3}" type="presParOf" srcId="{740D8686-3060-468F-AA13-136E8676507D}" destId="{7686F7F7-19C0-4FC0-8D08-230EDEF4A65B}" srcOrd="0" destOrd="0" presId="urn:microsoft.com/office/officeart/2005/8/layout/matrix1"/>
    <dgm:cxn modelId="{8C0D831F-C2E3-4BA0-8B97-01506B03F641}" type="presParOf" srcId="{740D8686-3060-468F-AA13-136E8676507D}" destId="{2E4A4358-0606-4B8F-8A35-0173E4057732}" srcOrd="1" destOrd="0" presId="urn:microsoft.com/office/officeart/2005/8/layout/matrix1"/>
    <dgm:cxn modelId="{76735C43-D1B1-4622-ABA3-7B3D1B0D3BAA}" type="presParOf" srcId="{740D8686-3060-468F-AA13-136E8676507D}" destId="{D2431376-1A08-494C-B9BD-9BD7FC125E7B}" srcOrd="2" destOrd="0" presId="urn:microsoft.com/office/officeart/2005/8/layout/matrix1"/>
    <dgm:cxn modelId="{5D2A05E5-F24F-46BB-86C8-C89AFEC0D101}" type="presParOf" srcId="{740D8686-3060-468F-AA13-136E8676507D}" destId="{8DA54546-2573-46BC-B969-C60EC34FD22A}" srcOrd="3" destOrd="0" presId="urn:microsoft.com/office/officeart/2005/8/layout/matrix1"/>
    <dgm:cxn modelId="{BF8A656E-8843-42B8-9646-8ED0277BCE99}" type="presParOf" srcId="{740D8686-3060-468F-AA13-136E8676507D}" destId="{7092A0B6-80A6-441C-8A7E-D73B3E6A5DA8}" srcOrd="4" destOrd="0" presId="urn:microsoft.com/office/officeart/2005/8/layout/matrix1"/>
    <dgm:cxn modelId="{B7400626-B697-4159-AE32-EF0458DB8C18}" type="presParOf" srcId="{740D8686-3060-468F-AA13-136E8676507D}" destId="{40FBABCA-5C12-49E9-B669-9742C8A18E3F}" srcOrd="5" destOrd="0" presId="urn:microsoft.com/office/officeart/2005/8/layout/matrix1"/>
    <dgm:cxn modelId="{B68709D5-7361-446C-A9B2-EE2CA840059F}" type="presParOf" srcId="{740D8686-3060-468F-AA13-136E8676507D}" destId="{855BFDE8-8BAA-47C0-B818-27F5DD3482A8}" srcOrd="6" destOrd="0" presId="urn:microsoft.com/office/officeart/2005/8/layout/matrix1"/>
    <dgm:cxn modelId="{8C33C155-3E4E-4455-BFBE-59FE93190E77}" type="presParOf" srcId="{740D8686-3060-468F-AA13-136E8676507D}" destId="{DC990DD0-F210-4E33-87B6-648CE9E336A8}" srcOrd="7" destOrd="0" presId="urn:microsoft.com/office/officeart/2005/8/layout/matrix1"/>
    <dgm:cxn modelId="{B0454B35-203F-4D9D-9060-584E4261FBF9}" type="presParOf" srcId="{15A2879F-41CD-485A-A43D-0467534E6D99}" destId="{59A2D808-E117-4F71-86F2-A4F3A3CA46F4}" srcOrd="1" destOrd="0" presId="urn:microsoft.com/office/officeart/2005/8/layout/matrix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A2DC7D-EFE6-48BC-808B-EA8CE4680E87}">
      <dsp:nvSpPr>
        <dsp:cNvPr id="0" name=""/>
        <dsp:cNvSpPr/>
      </dsp:nvSpPr>
      <dsp:spPr>
        <a:xfrm>
          <a:off x="0" y="0"/>
          <a:ext cx="4371213" cy="666940"/>
        </a:xfrm>
        <a:prstGeom prst="roundRect">
          <a:avLst>
            <a:gd name="adj" fmla="val 10000"/>
          </a:avLst>
        </a:prstGeom>
        <a:solidFill>
          <a:schemeClr val="accent1">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GB" sz="1200" kern="1200"/>
            <a:t>Possible personal data breach identified - staff member must report to  Data Protection Officer and take action to protect personal data as soon as possible</a:t>
          </a:r>
        </a:p>
      </dsp:txBody>
      <dsp:txXfrm>
        <a:off x="19534" y="19534"/>
        <a:ext cx="3573500" cy="627872"/>
      </dsp:txXfrm>
    </dsp:sp>
    <dsp:sp modelId="{B5D901EA-5C36-41E3-A3B8-655920B9907F}">
      <dsp:nvSpPr>
        <dsp:cNvPr id="0" name=""/>
        <dsp:cNvSpPr/>
      </dsp:nvSpPr>
      <dsp:spPr>
        <a:xfrm>
          <a:off x="326421" y="759571"/>
          <a:ext cx="4371213" cy="666940"/>
        </a:xfrm>
        <a:prstGeom prst="roundRect">
          <a:avLst>
            <a:gd name="adj" fmla="val 10000"/>
          </a:avLst>
        </a:prstGeom>
        <a:solidFill>
          <a:schemeClr val="accent1">
            <a:alpha val="90000"/>
            <a:hueOff val="0"/>
            <a:satOff val="0"/>
            <a:lumOff val="0"/>
            <a:alphaOff val="-1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GB" sz="1200" kern="1200"/>
            <a:t>DPO will add to breach register</a:t>
          </a:r>
        </a:p>
      </dsp:txBody>
      <dsp:txXfrm>
        <a:off x="345955" y="779105"/>
        <a:ext cx="3572211" cy="627872"/>
      </dsp:txXfrm>
    </dsp:sp>
    <dsp:sp modelId="{5C20C426-9A84-4189-821C-77F1C405900C}">
      <dsp:nvSpPr>
        <dsp:cNvPr id="0" name=""/>
        <dsp:cNvSpPr/>
      </dsp:nvSpPr>
      <dsp:spPr>
        <a:xfrm>
          <a:off x="652843" y="1519142"/>
          <a:ext cx="4371213" cy="666940"/>
        </a:xfrm>
        <a:prstGeom prst="roundRect">
          <a:avLst>
            <a:gd name="adj" fmla="val 10000"/>
          </a:avLst>
        </a:prstGeom>
        <a:solidFill>
          <a:schemeClr val="accent1">
            <a:alpha val="90000"/>
            <a:hueOff val="0"/>
            <a:satOff val="0"/>
            <a:lumOff val="0"/>
            <a:alphaOff val="-2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GB" sz="1200" kern="1200"/>
            <a:t>Initial investigations - until there is </a:t>
          </a:r>
          <a:r>
            <a:rPr lang="en-GB" sz="1200" i="1" kern="1200"/>
            <a:t>reasonable certainty </a:t>
          </a:r>
          <a:r>
            <a:rPr lang="en-GB" sz="1200" i="0" kern="1200"/>
            <a:t>that there has been a breach and there is some risk to individuals</a:t>
          </a:r>
          <a:endParaRPr lang="en-GB" sz="1200" kern="1200"/>
        </a:p>
      </dsp:txBody>
      <dsp:txXfrm>
        <a:off x="672377" y="1538676"/>
        <a:ext cx="3572211" cy="627872"/>
      </dsp:txXfrm>
    </dsp:sp>
    <dsp:sp modelId="{CF2F489B-D228-452E-AF1B-14EAEC84D9F6}">
      <dsp:nvSpPr>
        <dsp:cNvPr id="0" name=""/>
        <dsp:cNvSpPr/>
      </dsp:nvSpPr>
      <dsp:spPr>
        <a:xfrm>
          <a:off x="979265" y="2307285"/>
          <a:ext cx="4371213" cy="666940"/>
        </a:xfrm>
        <a:prstGeom prst="roundRect">
          <a:avLst>
            <a:gd name="adj" fmla="val 10000"/>
          </a:avLst>
        </a:prstGeom>
        <a:solidFill>
          <a:schemeClr val="accent1">
            <a:alpha val="90000"/>
            <a:hueOff val="0"/>
            <a:satOff val="0"/>
            <a:lumOff val="0"/>
            <a:alphaOff val="-3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GB" sz="1200" kern="1200"/>
            <a:t>Assess level of risk to individual rights and freedoms</a:t>
          </a:r>
        </a:p>
      </dsp:txBody>
      <dsp:txXfrm>
        <a:off x="998799" y="2326819"/>
        <a:ext cx="3572211" cy="627872"/>
      </dsp:txXfrm>
    </dsp:sp>
    <dsp:sp modelId="{F044CA19-7905-4252-A875-8EA948385D44}">
      <dsp:nvSpPr>
        <dsp:cNvPr id="0" name=""/>
        <dsp:cNvSpPr/>
      </dsp:nvSpPr>
      <dsp:spPr>
        <a:xfrm>
          <a:off x="1191379" y="3038284"/>
          <a:ext cx="4371213" cy="666940"/>
        </a:xfrm>
        <a:prstGeom prst="roundRect">
          <a:avLst>
            <a:gd name="adj" fmla="val 10000"/>
          </a:avLst>
        </a:prstGeom>
        <a:solidFill>
          <a:schemeClr val="accent1">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GB" sz="1200" kern="1200">
              <a:solidFill>
                <a:srgbClr val="FF0000"/>
              </a:solidFill>
            </a:rPr>
            <a:t>If required </a:t>
          </a:r>
          <a:r>
            <a:rPr lang="en-GB" sz="1200" kern="1200"/>
            <a:t>report to ICO,  and to the data subject, following the initial investigations</a:t>
          </a:r>
        </a:p>
      </dsp:txBody>
      <dsp:txXfrm>
        <a:off x="1210913" y="3057818"/>
        <a:ext cx="3572211" cy="627872"/>
      </dsp:txXfrm>
    </dsp:sp>
    <dsp:sp modelId="{5C430FE4-CF7B-4854-8156-D2219E46E42D}">
      <dsp:nvSpPr>
        <dsp:cNvPr id="0" name=""/>
        <dsp:cNvSpPr/>
      </dsp:nvSpPr>
      <dsp:spPr>
        <a:xfrm>
          <a:off x="3937701" y="487237"/>
          <a:ext cx="433511" cy="433511"/>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endParaRPr lang="en-GB" sz="1900" kern="1200"/>
        </a:p>
      </dsp:txBody>
      <dsp:txXfrm>
        <a:off x="4035241" y="487237"/>
        <a:ext cx="238431" cy="326217"/>
      </dsp:txXfrm>
    </dsp:sp>
    <dsp:sp modelId="{B572B758-5CCE-4570-A581-DC9FCF0BFD4B}">
      <dsp:nvSpPr>
        <dsp:cNvPr id="0" name=""/>
        <dsp:cNvSpPr/>
      </dsp:nvSpPr>
      <dsp:spPr>
        <a:xfrm>
          <a:off x="4264123" y="1246808"/>
          <a:ext cx="433511" cy="433511"/>
        </a:xfrm>
        <a:prstGeom prst="downArrow">
          <a:avLst>
            <a:gd name="adj1" fmla="val 55000"/>
            <a:gd name="adj2" fmla="val 45000"/>
          </a:avLst>
        </a:prstGeom>
        <a:solidFill>
          <a:schemeClr val="accent1">
            <a:alpha val="90000"/>
            <a:tint val="40000"/>
            <a:hueOff val="0"/>
            <a:satOff val="0"/>
            <a:lumOff val="0"/>
            <a:alphaOff val="-13333"/>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endParaRPr lang="en-GB" sz="1900" kern="1200"/>
        </a:p>
      </dsp:txBody>
      <dsp:txXfrm>
        <a:off x="4361663" y="1246808"/>
        <a:ext cx="238431" cy="326217"/>
      </dsp:txXfrm>
    </dsp:sp>
    <dsp:sp modelId="{2FC94F44-6FC4-46E8-A9D4-493975434BF2}">
      <dsp:nvSpPr>
        <dsp:cNvPr id="0" name=""/>
        <dsp:cNvSpPr/>
      </dsp:nvSpPr>
      <dsp:spPr>
        <a:xfrm>
          <a:off x="4590545" y="1995263"/>
          <a:ext cx="433511" cy="433511"/>
        </a:xfrm>
        <a:prstGeom prst="downArrow">
          <a:avLst>
            <a:gd name="adj1" fmla="val 55000"/>
            <a:gd name="adj2" fmla="val 45000"/>
          </a:avLst>
        </a:prstGeom>
        <a:solidFill>
          <a:schemeClr val="accent1">
            <a:alpha val="90000"/>
            <a:tint val="40000"/>
            <a:hueOff val="0"/>
            <a:satOff val="0"/>
            <a:lumOff val="0"/>
            <a:alphaOff val="-26667"/>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endParaRPr lang="en-GB" sz="1900" kern="1200"/>
        </a:p>
      </dsp:txBody>
      <dsp:txXfrm>
        <a:off x="4688085" y="1995263"/>
        <a:ext cx="238431" cy="326217"/>
      </dsp:txXfrm>
    </dsp:sp>
    <dsp:sp modelId="{4BAA2399-1340-4E97-BD83-1F58969F9EE2}">
      <dsp:nvSpPr>
        <dsp:cNvPr id="0" name=""/>
        <dsp:cNvSpPr/>
      </dsp:nvSpPr>
      <dsp:spPr>
        <a:xfrm>
          <a:off x="4916966" y="2762245"/>
          <a:ext cx="433511" cy="433511"/>
        </a:xfrm>
        <a:prstGeom prst="downArrow">
          <a:avLst>
            <a:gd name="adj1" fmla="val 55000"/>
            <a:gd name="adj2" fmla="val 45000"/>
          </a:avLst>
        </a:prstGeom>
        <a:solidFill>
          <a:schemeClr val="accent1">
            <a:alpha val="90000"/>
            <a:tint val="40000"/>
            <a:hueOff val="0"/>
            <a:satOff val="0"/>
            <a:lumOff val="0"/>
            <a:alphaOff val="-4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endParaRPr lang="en-GB" sz="1900" kern="1200"/>
        </a:p>
      </dsp:txBody>
      <dsp:txXfrm>
        <a:off x="5014506" y="2762245"/>
        <a:ext cx="238431" cy="32621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86F7F7-19C0-4FC0-8D08-230EDEF4A65B}">
      <dsp:nvSpPr>
        <dsp:cNvPr id="0" name=""/>
        <dsp:cNvSpPr/>
      </dsp:nvSpPr>
      <dsp:spPr>
        <a:xfrm rot="16200000">
          <a:off x="1131093" y="-1131093"/>
          <a:ext cx="676275" cy="2938462"/>
        </a:xfrm>
        <a:prstGeom prst="round1Rect">
          <a:avLst/>
        </a:prstGeom>
        <a:solidFill>
          <a:schemeClr val="accent1">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a:t>Describe the breach, identifying the category and numbers affected.</a:t>
          </a:r>
        </a:p>
      </dsp:txBody>
      <dsp:txXfrm rot="5400000">
        <a:off x="0" y="0"/>
        <a:ext cx="2938462" cy="507206"/>
      </dsp:txXfrm>
    </dsp:sp>
    <dsp:sp modelId="{D2431376-1A08-494C-B9BD-9BD7FC125E7B}">
      <dsp:nvSpPr>
        <dsp:cNvPr id="0" name=""/>
        <dsp:cNvSpPr/>
      </dsp:nvSpPr>
      <dsp:spPr>
        <a:xfrm>
          <a:off x="2938462" y="0"/>
          <a:ext cx="2938462" cy="676275"/>
        </a:xfrm>
        <a:prstGeom prst="round1Rect">
          <a:avLst/>
        </a:prstGeom>
        <a:solidFill>
          <a:schemeClr val="accent1">
            <a:alpha val="90000"/>
            <a:hueOff val="0"/>
            <a:satOff val="0"/>
            <a:lumOff val="0"/>
            <a:alphaOff val="-13333"/>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a:t>Likely consequences</a:t>
          </a:r>
        </a:p>
      </dsp:txBody>
      <dsp:txXfrm>
        <a:off x="2938462" y="0"/>
        <a:ext cx="2938462" cy="507206"/>
      </dsp:txXfrm>
    </dsp:sp>
    <dsp:sp modelId="{7092A0B6-80A6-441C-8A7E-D73B3E6A5DA8}">
      <dsp:nvSpPr>
        <dsp:cNvPr id="0" name=""/>
        <dsp:cNvSpPr/>
      </dsp:nvSpPr>
      <dsp:spPr>
        <a:xfrm rot="10800000">
          <a:off x="0" y="676275"/>
          <a:ext cx="2938462" cy="676275"/>
        </a:xfrm>
        <a:prstGeom prst="round1Rect">
          <a:avLst/>
        </a:prstGeom>
        <a:solidFill>
          <a:schemeClr val="accent1">
            <a:alpha val="90000"/>
            <a:hueOff val="0"/>
            <a:satOff val="0"/>
            <a:lumOff val="0"/>
            <a:alphaOff val="-26667"/>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a:t>DPO contact details</a:t>
          </a:r>
        </a:p>
      </dsp:txBody>
      <dsp:txXfrm rot="10800000">
        <a:off x="0" y="845343"/>
        <a:ext cx="2938462" cy="507206"/>
      </dsp:txXfrm>
    </dsp:sp>
    <dsp:sp modelId="{855BFDE8-8BAA-47C0-B818-27F5DD3482A8}">
      <dsp:nvSpPr>
        <dsp:cNvPr id="0" name=""/>
        <dsp:cNvSpPr/>
      </dsp:nvSpPr>
      <dsp:spPr>
        <a:xfrm rot="5400000">
          <a:off x="4069556" y="-454818"/>
          <a:ext cx="676275" cy="2938462"/>
        </a:xfrm>
        <a:prstGeom prst="round1Rect">
          <a:avLst/>
        </a:prstGeom>
        <a:solidFill>
          <a:schemeClr val="accent1">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a:t>Mitigating actions </a:t>
          </a:r>
        </a:p>
      </dsp:txBody>
      <dsp:txXfrm rot="-5400000">
        <a:off x="2938462" y="845344"/>
        <a:ext cx="2938462" cy="507206"/>
      </dsp:txXfrm>
    </dsp:sp>
    <dsp:sp modelId="{59A2D808-E117-4F71-86F2-A4F3A3CA46F4}">
      <dsp:nvSpPr>
        <dsp:cNvPr id="0" name=""/>
        <dsp:cNvSpPr/>
      </dsp:nvSpPr>
      <dsp:spPr>
        <a:xfrm>
          <a:off x="2056923" y="507206"/>
          <a:ext cx="1763077" cy="338137"/>
        </a:xfrm>
        <a:prstGeom prst="roundRect">
          <a:avLst/>
        </a:prstGeom>
        <a:solidFill>
          <a:schemeClr val="accent1">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Reports to ICO </a:t>
          </a:r>
        </a:p>
      </dsp:txBody>
      <dsp:txXfrm>
        <a:off x="2073429" y="523712"/>
        <a:ext cx="1730065" cy="305125"/>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9B2D7332376CDA40911B9432AADE569900D88D4E36913BD9419481540E7F78BD20" ma:contentTypeVersion="3" ma:contentTypeDescription="Create a Word Document" ma:contentTypeScope="" ma:versionID="67bc3ac05b5b89519240bda659a5a6a8">
  <xsd:schema xmlns:xsd="http://www.w3.org/2001/XMLSchema" xmlns:xs="http://www.w3.org/2001/XMLSchema" xmlns:p="http://schemas.microsoft.com/office/2006/metadata/properties" xmlns:ns2="5266e339-39c2-409b-b9ee-bf1c659db9b0" targetNamespace="http://schemas.microsoft.com/office/2006/metadata/properties" ma:root="true" ma:fieldsID="ca02313be615c2c53301b09cf51b570e" ns2:_="">
    <xsd:import namespace="5266e339-39c2-409b-b9ee-bf1c659db9b0"/>
    <xsd:element name="properties">
      <xsd:complexType>
        <xsd:sequence>
          <xsd:element name="documentManagement">
            <xsd:complexType>
              <xsd:all>
                <xsd:element ref="ns2:wmpRelevantDate" minOccurs="0"/>
                <xsd:element ref="ns2:wmpDocumentOwner" minOccurs="0"/>
                <xsd:element ref="ns2:wmpDocumentType" minOccurs="0"/>
                <xsd:element ref="ns2:wmpAppealstoThePCC" minOccurs="0"/>
                <xsd:element ref="ns2:wmpBusinessPlanning" minOccurs="0"/>
                <xsd:element ref="ns2:wmpCaseWork" minOccurs="0"/>
                <xsd:element ref="ns2:wmpCommunications" minOccurs="0"/>
                <xsd:element ref="ns2:wmpFinance" minOccurs="0"/>
                <xsd:element ref="ns2:wmpForceDepartment" minOccurs="0"/>
                <xsd:element ref="ns2:wmpForceLPU" minOccurs="0"/>
                <xsd:element ref="ns2:wmpGeneralTags" minOccurs="0"/>
                <xsd:element ref="ns2:wmpHumanResources" minOccurs="0"/>
                <xsd:element ref="ns2:wmpKeywords" minOccurs="0"/>
                <xsd:element ref="ns2:wmpLocalPartners" minOccurs="0"/>
                <xsd:element ref="ns2:wmpNationalBodies" minOccurs="0"/>
                <xsd:element ref="ns2:wmpOfficeManagement" minOccurs="0"/>
                <xsd:element ref="ns2:wmpPCCDecision" minOccurs="0"/>
                <xsd:element ref="ns2:wmpPublicMeetings" minOccurs="0"/>
                <xsd:element ref="ns2:wmpTransi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6e339-39c2-409b-b9ee-bf1c659db9b0" elementFormDefault="qualified">
    <xsd:import namespace="http://schemas.microsoft.com/office/2006/documentManagement/types"/>
    <xsd:import namespace="http://schemas.microsoft.com/office/infopath/2007/PartnerControls"/>
    <xsd:element name="wmpRelevantDate" ma:index="8" nillable="true" ma:displayName="Relevant Date" ma:description="" ma:format="DateOnly" ma:internalName="wmpRelevantDate">
      <xsd:simpleType>
        <xsd:restriction base="dms:DateTime"/>
      </xsd:simpleType>
    </xsd:element>
    <xsd:element name="wmpDocumentOwner" ma:index="9" nillable="true" ma:displayName="Document Owner" ma:list="UserInfo" ma:internalName="wmpDocument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mpDocumentType" ma:index="10" nillable="true" ma:displayName="Document Type" ma:default="" ma:internalName="wmpDocumentType" ma:readOnly="false">
      <xsd:simpleType>
        <xsd:restriction base="dms:Choice">
          <xsd:enumeration value="Agenda"/>
          <xsd:enumeration value="Briefing"/>
          <xsd:enumeration value="Commissioning brief"/>
          <xsd:enumeration value="Correspondence"/>
          <xsd:enumeration value="Database"/>
          <xsd:enumeration value="Form"/>
          <xsd:enumeration value="Image"/>
          <xsd:enumeration value="Manual"/>
          <xsd:enumeration value="Minutes"/>
          <xsd:enumeration value="Notes"/>
          <xsd:enumeration value="Policy/Procedure"/>
          <xsd:enumeration value="Presentation"/>
          <xsd:enumeration value="Project initiation"/>
          <xsd:enumeration value="Publication"/>
          <xsd:enumeration value="Report"/>
          <xsd:enumeration value="Spreadsheet"/>
          <xsd:enumeration value="Telephone Note"/>
          <xsd:enumeration value="Other"/>
        </xsd:restriction>
      </xsd:simpleType>
    </xsd:element>
    <xsd:element name="wmpAppealstoThePCC" ma:index="11" nillable="true" ma:displayName="Appeals to The PCC" ma:default="" ma:internalName="wmpAppealstoThePCC" ma:readOnly="false">
      <xsd:simpleType>
        <xsd:restriction base="dms:Choice">
          <xsd:enumeration value="Business interest"/>
          <xsd:enumeration value="Dismissal"/>
          <xsd:enumeration value="Misconduct hearings"/>
          <xsd:enumeration value="Police appeal tribunals"/>
          <xsd:enumeration value="Other"/>
        </xsd:restriction>
      </xsd:simpleType>
    </xsd:element>
    <xsd:element name="wmpBusinessPlanning" ma:index="12" nillable="true" ma:displayName="Business Planning" ma:default="" ma:internalName="wmpBusinessPlanning" ma:readOnly="false">
      <xsd:simpleType>
        <xsd:restriction base="dms:Choice">
          <xsd:enumeration value="Annual reports"/>
          <xsd:enumeration value="Business continuity"/>
          <xsd:enumeration value="Delivery plan"/>
          <xsd:enumeration value="Police and crime plan"/>
          <xsd:enumeration value="Risk Management"/>
          <xsd:enumeration value="Strategy"/>
          <xsd:enumeration value="Other"/>
        </xsd:restriction>
      </xsd:simpleType>
    </xsd:element>
    <xsd:element name="wmpCaseWork" ma:index="13" nillable="true" ma:displayName="Case Work" ma:format="Dropdown" ma:internalName="wmpCaseWork">
      <xsd:simpleType>
        <xsd:restriction base="dms:Choice">
          <xsd:enumeration value="Campaign"/>
          <xsd:enumeration value="Complaint"/>
          <xsd:enumeration value="Correspondence"/>
          <xsd:enumeration value="Freedom of information"/>
          <xsd:enumeration value="Petition"/>
          <xsd:enumeration value="Other"/>
        </xsd:restriction>
      </xsd:simpleType>
    </xsd:element>
    <xsd:element name="wmpCommunications" ma:index="14" nillable="true" ma:displayName="Communications" ma:default="" ma:internalName="wmpCommunications" ma:readOnly="false">
      <xsd:simpleType>
        <xsd:restriction base="dms:Choice">
          <xsd:enumeration value="Branding"/>
          <xsd:enumeration value="Internet /Intranet"/>
          <xsd:enumeration value="Media"/>
          <xsd:enumeration value="Photography"/>
          <xsd:enumeration value="Public Relations"/>
          <xsd:enumeration value="Other"/>
        </xsd:restriction>
      </xsd:simpleType>
    </xsd:element>
    <xsd:element name="wmpFinance" ma:index="15" nillable="true" ma:displayName="Finance" ma:default="" ma:internalName="wmpFinance" ma:readOnly="false">
      <xsd:simpleType>
        <xsd:restriction base="dms:Choice">
          <xsd:enumeration value="Budget"/>
          <xsd:enumeration value="Commissioning"/>
          <xsd:enumeration value="Community Initiative Fund"/>
          <xsd:enumeration value="Contracts and Procurement"/>
          <xsd:enumeration value="Expenses"/>
          <xsd:enumeration value="Grants and funding"/>
          <xsd:enumeration value="Pensions"/>
          <xsd:enumeration value="Precept"/>
          <xsd:enumeration value="Treasury Management"/>
          <xsd:enumeration value="Other"/>
        </xsd:restriction>
      </xsd:simpleType>
    </xsd:element>
    <xsd:element name="wmpForceDepartment" ma:index="16" nillable="true" ma:displayName="Force Department" ma:default="" ma:internalName="wmpForceDepartment" ma:readOnly="false">
      <xsd:simpleType>
        <xsd:restriction base="dms:Choice">
          <xsd:enumeration value="CMPG"/>
          <xsd:enumeration value="Command Team"/>
          <xsd:enumeration value="Community Justice and Custody"/>
          <xsd:enumeration value="Corporate Communications"/>
          <xsd:enumeration value="Corporate services"/>
          <xsd:enumeration value="EDHR"/>
          <xsd:enumeration value="Finance"/>
          <xsd:enumeration value="Fleet services"/>
          <xsd:enumeration value="Force CATO"/>
          <xsd:enumeration value="Force CID"/>
          <xsd:enumeration value="Force Wide"/>
          <xsd:enumeration value="Human resources"/>
          <xsd:enumeration value="Information services"/>
          <xsd:enumeration value="Intelligence"/>
          <xsd:enumeration value="Learning and development"/>
          <xsd:enumeration value="Legal services"/>
          <xsd:enumeration value="Local policing"/>
          <xsd:enumeration value="Operations"/>
          <xsd:enumeration value="Organisation and service development"/>
          <xsd:enumeration value="Professional standards"/>
          <xsd:enumeration value="Property services"/>
          <xsd:enumeration value="Public protection"/>
          <xsd:enumeration value="WM CTU"/>
          <xsd:enumeration value="Other"/>
        </xsd:restriction>
      </xsd:simpleType>
    </xsd:element>
    <xsd:element name="wmpForceLPU" ma:index="17" nillable="true" ma:displayName="Force LPU" ma:default="" ma:internalName="wmpForceLPU" ma:readOnly="false">
      <xsd:simpleType>
        <xsd:restriction base="dms:Choice">
          <xsd:enumeration value="Birmingham"/>
          <xsd:enumeration value="Birmingham East"/>
          <xsd:enumeration value="Birmingham North"/>
          <xsd:enumeration value="Birmingham South"/>
          <xsd:enumeration value="Birmingham West and Central"/>
          <xsd:enumeration value="Coventry"/>
          <xsd:enumeration value="Dudley"/>
          <xsd:enumeration value="Sandwell"/>
          <xsd:enumeration value="Solihull"/>
          <xsd:enumeration value="Walsall"/>
          <xsd:enumeration value="Wolverhampton"/>
          <xsd:enumeration value="Other"/>
        </xsd:restriction>
      </xsd:simpleType>
    </xsd:element>
    <xsd:element name="wmpGeneralTags" ma:index="18" nillable="true" ma:displayName="General Tags" ma:default="" ma:internalName="wmpGeneralTags" ma:readOnly="false">
      <xsd:simpleType>
        <xsd:restriction base="dms:Choice">
          <xsd:enumeration value="Audit"/>
          <xsd:enumeration value="Boards/Working Groups"/>
          <xsd:enumeration value="Business Improvement"/>
          <xsd:enumeration value="Collaboration"/>
          <xsd:enumeration value="Community Engagement"/>
          <xsd:enumeration value="Consultation"/>
          <xsd:enumeration value="Custody Visiting"/>
          <xsd:enumeration value="EDHR"/>
          <xsd:enumeration value="Legal"/>
          <xsd:enumeration value="Performance"/>
          <xsd:enumeration value="Projects"/>
          <xsd:enumeration value="Regional"/>
          <xsd:enumeration value="Other"/>
        </xsd:restriction>
      </xsd:simpleType>
    </xsd:element>
    <xsd:element name="wmpHumanResources" ma:index="19" nillable="true" ma:displayName="Human Resources" ma:format="Dropdown" ma:internalName="wmpHumanResources" ma:readOnly="false">
      <xsd:simpleType>
        <xsd:restriction base="dms:Choice">
          <xsd:enumeration value="Attendance"/>
          <xsd:enumeration value="Contracts"/>
          <xsd:enumeration value="Establishment"/>
          <xsd:enumeration value="PDR"/>
          <xsd:enumeration value="Personal Files"/>
          <xsd:enumeration value="Recruitment"/>
          <xsd:enumeration value="Training and development"/>
          <xsd:enumeration value="Other"/>
        </xsd:restriction>
      </xsd:simpleType>
    </xsd:element>
    <xsd:element name="wmpKeywords" ma:index="20" nillable="true" ma:displayName="Keywords" ma:internalName="wmpKeywords" ma:readOnly="false">
      <xsd:simpleType>
        <xsd:restriction base="dms:Text"/>
      </xsd:simpleType>
    </xsd:element>
    <xsd:element name="wmpLocalPartners" ma:index="21" nillable="true" ma:displayName="Local Partners" ma:default="" ma:internalName="wmpLocalPartners" ma:readOnly="false">
      <xsd:simpleType>
        <xsd:restriction base="dms:Choice">
          <xsd:enumeration value="Birmingham City Council"/>
          <xsd:enumeration value="Business Organisation"/>
          <xsd:enumeration value="Community safety partnership"/>
          <xsd:enumeration value="Coventry City Council"/>
          <xsd:enumeration value="Dudley MBC"/>
          <xsd:enumeration value="Heads of Community Safety"/>
          <xsd:enumeration value="Local Criminal Justice Board"/>
          <xsd:enumeration value="Sandwell MBC"/>
          <xsd:enumeration value="Solihull MBC"/>
          <xsd:enumeration value="Staffordshire and West Mids JPAC"/>
          <xsd:enumeration value="Voluntary and Community Organisations"/>
          <xsd:enumeration value="Walsall MBC"/>
          <xsd:enumeration value="West Midlands Joint Committee"/>
          <xsd:enumeration value="Wolverhampton City Council"/>
          <xsd:enumeration value="Other"/>
        </xsd:restriction>
      </xsd:simpleType>
    </xsd:element>
    <xsd:element name="wmpNationalBodies" ma:index="22" nillable="true" ma:displayName="National Bodies" ma:default="" ma:internalName="wmpNationalBodies" ma:readOnly="false">
      <xsd:simpleType>
        <xsd:restriction base="dms:Choice">
          <xsd:enumeration value="British Transport Police"/>
          <xsd:enumeration value="Cabinet Office"/>
          <xsd:enumeration value="College of Policing"/>
          <xsd:enumeration value="Courts Service"/>
          <xsd:enumeration value="Crown Prosecution Service"/>
          <xsd:enumeration value="Dept. for Communities and Local Govt"/>
          <xsd:enumeration value="Dept. of Health/NHS"/>
          <xsd:enumeration value="Equality and Human Rights Commission"/>
          <xsd:enumeration value="Highways Agency"/>
          <xsd:enumeration value="HMIC"/>
          <xsd:enumeration value="HM Treasury"/>
          <xsd:enumeration value="Home Office"/>
          <xsd:enumeration value="IPCC"/>
          <xsd:enumeration value="LGA"/>
          <xsd:enumeration value="Ministry of Justice"/>
          <xsd:enumeration value="National Police Air Service"/>
          <xsd:enumeration value="National Crime Agency"/>
          <xsd:enumeration value="NewCo"/>
          <xsd:enumeration value="PCCs National Body"/>
          <xsd:enumeration value="Probation Service"/>
          <xsd:enumeration value="Other"/>
        </xsd:restriction>
      </xsd:simpleType>
    </xsd:element>
    <xsd:element name="wmpOfficeManagement" ma:index="23" nillable="true" ma:displayName="Office Management" ma:default="" ma:internalName="wmpOfficeManagement" ma:readOnly="false">
      <xsd:simpleType>
        <xsd:restriction base="dms:Choice">
          <xsd:enumeration value="Accommodation"/>
          <xsd:enumeration value="Archive"/>
          <xsd:enumeration value="CEO Office"/>
          <xsd:enumeration value="Conferences"/>
          <xsd:enumeration value="Events"/>
          <xsd:enumeration value="Governance of the Office"/>
          <xsd:enumeration value="Health and Safety"/>
          <xsd:enumeration value="IT"/>
          <xsd:enumeration value="Ordering"/>
          <xsd:enumeration value="PCC Office"/>
          <xsd:enumeration value="Projects"/>
          <xsd:enumeration value="Records Management"/>
          <xsd:enumeration value="Other"/>
        </xsd:restriction>
      </xsd:simpleType>
    </xsd:element>
    <xsd:element name="wmpPCCDecision" ma:index="24" nillable="true" ma:displayName="PCC Decision" ma:default="" ma:internalName="wmpPCCDecision" ma:readOnly="false">
      <xsd:simpleType>
        <xsd:restriction base="dms:Choice">
          <xsd:enumeration value="Delegated"/>
          <xsd:enumeration value="PCC"/>
        </xsd:restriction>
      </xsd:simpleType>
    </xsd:element>
    <xsd:element name="wmpPublicMeetings" ma:index="25" nillable="true" ma:displayName="Public Meetings" ma:default="" ma:internalName="wmpPublicMeetings" ma:readOnly="false">
      <xsd:simpleType>
        <xsd:restriction base="dms:Choice">
          <xsd:enumeration value="Consultation"/>
          <xsd:enumeration value="PCC Decision/s"/>
          <xsd:enumeration value="Police and Crime Panel"/>
          <xsd:enumeration value="Other"/>
        </xsd:restriction>
      </xsd:simpleType>
    </xsd:element>
    <xsd:element name="wmpTransition" ma:index="26" nillable="true" ma:displayName="Transition" ma:default="" ma:internalName="wmpTransition" ma:readOnly="false">
      <xsd:simpleType>
        <xsd:restriction base="dms:Choice">
          <xsd:enumeration value="HO Transition Sponsorship Board"/>
          <xsd:enumeration value="Policing Protocol"/>
          <xsd:enumeration value="Strategic Policing Requirement"/>
          <xsd:enumeration value="Victims"/>
          <xsd:enumeration value="WM Transition Governance Board"/>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mpAppealstoThePCC xmlns="5266e339-39c2-409b-b9ee-bf1c659db9b0" xsi:nil="true"/>
    <wmpFinance xmlns="5266e339-39c2-409b-b9ee-bf1c659db9b0" xsi:nil="true"/>
    <wmpKeywords xmlns="5266e339-39c2-409b-b9ee-bf1c659db9b0" xsi:nil="true"/>
    <wmpOfficeManagement xmlns="5266e339-39c2-409b-b9ee-bf1c659db9b0" xsi:nil="true"/>
    <wmpLocalPartners xmlns="5266e339-39c2-409b-b9ee-bf1c659db9b0" xsi:nil="true"/>
    <wmpNationalBodies xmlns="5266e339-39c2-409b-b9ee-bf1c659db9b0" xsi:nil="true"/>
    <wmpBusinessPlanning xmlns="5266e339-39c2-409b-b9ee-bf1c659db9b0" xsi:nil="true"/>
    <wmpForceLPU xmlns="5266e339-39c2-409b-b9ee-bf1c659db9b0" xsi:nil="true"/>
    <wmpPCCDecision xmlns="5266e339-39c2-409b-b9ee-bf1c659db9b0" xsi:nil="true"/>
    <wmpGeneralTags xmlns="5266e339-39c2-409b-b9ee-bf1c659db9b0" xsi:nil="true"/>
    <wmpRelevantDate xmlns="5266e339-39c2-409b-b9ee-bf1c659db9b0" xsi:nil="true"/>
    <wmpDocumentOwner xmlns="5266e339-39c2-409b-b9ee-bf1c659db9b0">
      <UserInfo>
        <DisplayName/>
        <AccountId xsi:nil="true"/>
        <AccountType/>
      </UserInfo>
    </wmpDocumentOwner>
    <wmpCaseWork xmlns="5266e339-39c2-409b-b9ee-bf1c659db9b0" xsi:nil="true"/>
    <wmpHumanResources xmlns="5266e339-39c2-409b-b9ee-bf1c659db9b0" xsi:nil="true"/>
    <wmpDocumentType xmlns="5266e339-39c2-409b-b9ee-bf1c659db9b0" xsi:nil="true"/>
    <wmpCommunications xmlns="5266e339-39c2-409b-b9ee-bf1c659db9b0" xsi:nil="true"/>
    <wmpPublicMeetings xmlns="5266e339-39c2-409b-b9ee-bf1c659db9b0" xsi:nil="true"/>
    <wmpForceDepartment xmlns="5266e339-39c2-409b-b9ee-bf1c659db9b0" xsi:nil="true"/>
    <wmpTransition xmlns="5266e339-39c2-409b-b9ee-bf1c659db9b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F5F65-4FE4-4C7E-B3AF-25A9856DE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6e339-39c2-409b-b9ee-bf1c659db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1AC5C3-DB38-4C0A-AEDC-BD6E4F400B2B}">
  <ds:schemaRefs>
    <ds:schemaRef ds:uri="http://schemas.microsoft.com/sharepoint/v3/contenttype/forms"/>
  </ds:schemaRefs>
</ds:datastoreItem>
</file>

<file path=customXml/itemProps3.xml><?xml version="1.0" encoding="utf-8"?>
<ds:datastoreItem xmlns:ds="http://schemas.openxmlformats.org/officeDocument/2006/customXml" ds:itemID="{00E170EF-9C02-4A7C-96C8-E234259A99AF}">
  <ds:schemaRefs>
    <ds:schemaRef ds:uri="5266e339-39c2-409b-b9ee-bf1c659db9b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30806E0-CC6A-425E-BE21-28FE6A23A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Gabbitas</dc:creator>
  <cp:keywords/>
  <dc:description/>
  <cp:lastModifiedBy>Andrea Gabbitas</cp:lastModifiedBy>
  <cp:revision>2</cp:revision>
  <dcterms:created xsi:type="dcterms:W3CDTF">2019-09-23T16:52:00Z</dcterms:created>
  <dcterms:modified xsi:type="dcterms:W3CDTF">2019-09-23T16:52:00Z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0x0101009B2D7332376CDA40911B9432AADE569900D88D4E36913BD9419481540E7F78BD20</vt:lpwstr>
  </property>
</Properties>
</file>